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伊汤环审〔2024〕14号</w:t>
      </w:r>
    </w:p>
    <w:p>
      <w:pPr>
        <w:jc w:val="center"/>
        <w:rPr>
          <w:rFonts w:hint="eastAsia" w:ascii="新宋体" w:hAnsi="新宋体" w:eastAsia="新宋体" w:cs="新宋体"/>
          <w:b/>
          <w:bCs/>
          <w:sz w:val="44"/>
          <w:szCs w:val="44"/>
          <w:lang w:val="en-US" w:eastAsia="zh-CN"/>
        </w:rPr>
      </w:pPr>
    </w:p>
    <w:p>
      <w:pPr>
        <w:jc w:val="center"/>
        <w:rPr>
          <w:rFonts w:hint="eastAsia" w:ascii="宋体" w:hAnsi="宋体" w:eastAsia="宋体" w:cs="Times New Roman"/>
          <w:b/>
          <w:bCs/>
          <w:sz w:val="44"/>
          <w:szCs w:val="44"/>
          <w:lang w:eastAsia="zh-CN"/>
        </w:rPr>
      </w:pPr>
      <w:r>
        <w:rPr>
          <w:rFonts w:hint="eastAsia" w:ascii="宋体" w:hAnsi="宋体" w:eastAsia="宋体" w:cs="Times New Roman"/>
          <w:b/>
          <w:bCs/>
          <w:sz w:val="44"/>
          <w:szCs w:val="44"/>
          <w:lang w:eastAsia="zh-CN"/>
        </w:rPr>
        <w:t>黑龙江省伊春市伊旺石油有限公司建设</w:t>
      </w:r>
    </w:p>
    <w:p>
      <w:pPr>
        <w:jc w:val="center"/>
        <w:rPr>
          <w:rFonts w:hint="eastAsia" w:ascii="宋体" w:hAnsi="宋体"/>
          <w:b/>
          <w:sz w:val="36"/>
          <w:szCs w:val="36"/>
        </w:rPr>
      </w:pPr>
      <w:r>
        <w:rPr>
          <w:rFonts w:hint="eastAsia" w:ascii="宋体" w:hAnsi="宋体" w:eastAsia="宋体" w:cs="Times New Roman"/>
          <w:b/>
          <w:bCs/>
          <w:sz w:val="44"/>
          <w:szCs w:val="44"/>
          <w:lang w:eastAsia="zh-CN"/>
        </w:rPr>
        <w:t>项目</w:t>
      </w:r>
      <w:r>
        <w:rPr>
          <w:rFonts w:hint="eastAsia" w:ascii="宋体" w:hAnsi="宋体"/>
          <w:b/>
          <w:bCs/>
          <w:sz w:val="44"/>
          <w:szCs w:val="44"/>
        </w:rPr>
        <w:t>的批复</w:t>
      </w:r>
    </w:p>
    <w:p>
      <w:pPr>
        <w:rPr>
          <w:rFonts w:hint="eastAsia" w:ascii="宋体" w:hAnsi="宋体"/>
        </w:rPr>
      </w:pPr>
      <w: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3840" w:hanging="3840" w:hangingChars="1200"/>
        <w:textAlignment w:val="auto"/>
        <w:rPr>
          <w:rFonts w:hint="eastAsia" w:ascii="仿宋" w:hAnsi="仿宋" w:eastAsia="仿宋" w:cs="仿宋"/>
          <w:sz w:val="32"/>
          <w:szCs w:val="32"/>
          <w:u w:val="single"/>
        </w:rPr>
      </w:pPr>
      <w:r>
        <w:rPr>
          <w:rFonts w:hint="eastAsia" w:ascii="仿宋" w:hAnsi="仿宋" w:eastAsia="仿宋" w:cs="仿宋"/>
          <w:sz w:val="32"/>
          <w:szCs w:val="32"/>
          <w:u w:val="none"/>
          <w:lang w:eastAsia="zh-CN"/>
        </w:rPr>
        <w:t>伊春市伊旺新能源有限公司</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你单位提交的《</w:t>
      </w:r>
      <w:r>
        <w:rPr>
          <w:rFonts w:hint="eastAsia" w:ascii="仿宋" w:hAnsi="仿宋" w:eastAsia="仿宋" w:cs="仿宋"/>
          <w:sz w:val="32"/>
          <w:szCs w:val="32"/>
          <w:lang w:eastAsia="zh-CN"/>
        </w:rPr>
        <w:t>黑龙江省伊春市伊旺石油有限公司建设项目</w:t>
      </w:r>
      <w:r>
        <w:rPr>
          <w:rFonts w:hint="eastAsia" w:ascii="仿宋" w:hAnsi="仿宋" w:eastAsia="仿宋" w:cs="仿宋"/>
          <w:sz w:val="32"/>
          <w:szCs w:val="32"/>
        </w:rPr>
        <w:t>的环境影响报告表》(以下简称</w:t>
      </w:r>
      <w:r>
        <w:rPr>
          <w:rFonts w:hint="eastAsia" w:ascii="仿宋" w:hAnsi="仿宋" w:eastAsia="仿宋" w:cs="仿宋"/>
          <w:sz w:val="32"/>
          <w:szCs w:val="32"/>
          <w:lang w:eastAsia="zh-CN"/>
        </w:rPr>
        <w:t>《报告表》</w:t>
      </w:r>
      <w:r>
        <w:rPr>
          <w:rFonts w:hint="eastAsia" w:ascii="仿宋" w:hAnsi="仿宋" w:eastAsia="仿宋" w:cs="仿宋"/>
          <w:sz w:val="32"/>
          <w:szCs w:val="32"/>
        </w:rPr>
        <w:t>)及相关材料己收悉。</w:t>
      </w:r>
      <w:r>
        <w:rPr>
          <w:rFonts w:hint="eastAsia" w:ascii="仿宋" w:hAnsi="仿宋" w:eastAsia="仿宋" w:cs="仿宋"/>
          <w:sz w:val="32"/>
          <w:szCs w:val="32"/>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新宋体" w:hAnsi="新宋体" w:eastAsia="新宋体" w:cs="新宋体"/>
          <w:b/>
          <w:bCs/>
          <w:kern w:val="0"/>
          <w:sz w:val="32"/>
          <w:szCs w:val="32"/>
          <w:lang w:eastAsia="zh-CN"/>
        </w:rPr>
      </w:pPr>
      <w:r>
        <w:rPr>
          <w:rFonts w:hint="eastAsia" w:ascii="新宋体" w:hAnsi="新宋体" w:eastAsia="新宋体" w:cs="新宋体"/>
          <w:b/>
          <w:bCs/>
          <w:kern w:val="0"/>
          <w:sz w:val="32"/>
          <w:szCs w:val="32"/>
          <w:lang w:val="en-US" w:eastAsia="zh-CN" w:bidi="ar-SA"/>
        </w:rPr>
        <w:t>一、</w:t>
      </w:r>
      <w:r>
        <w:rPr>
          <w:rFonts w:hint="eastAsia" w:ascii="新宋体" w:hAnsi="新宋体" w:eastAsia="新宋体" w:cs="新宋体"/>
          <w:b/>
          <w:bCs/>
          <w:kern w:val="0"/>
          <w:sz w:val="32"/>
          <w:szCs w:val="32"/>
          <w:lang w:eastAsia="zh-CN"/>
        </w:rPr>
        <w:t>项目基本情况</w:t>
      </w:r>
    </w:p>
    <w:p>
      <w:pPr>
        <w:ind w:firstLine="640" w:firstLineChars="200"/>
        <w:rPr>
          <w:rFonts w:hint="eastAsia" w:ascii="仿宋" w:hAnsi="仿宋" w:eastAsia="仿宋" w:cs="仿宋"/>
          <w:sz w:val="32"/>
          <w:szCs w:val="32"/>
          <w:lang w:val="en-US" w:eastAsia="zh-CN"/>
        </w:rPr>
      </w:pPr>
      <w:bookmarkStart w:id="0" w:name="_Toc155160799"/>
      <w:bookmarkStart w:id="1" w:name="_Toc144991937"/>
      <w:bookmarkStart w:id="2" w:name="_Toc155963297"/>
      <w:bookmarkStart w:id="3" w:name="_Toc155161499"/>
      <w:r>
        <w:rPr>
          <w:rFonts w:hint="eastAsia" w:ascii="仿宋" w:hAnsi="仿宋" w:eastAsia="仿宋" w:cs="仿宋"/>
          <w:sz w:val="32"/>
          <w:szCs w:val="32"/>
        </w:rPr>
        <w:t>本项目位于黑龙江省</w:t>
      </w:r>
      <w:r>
        <w:rPr>
          <w:rFonts w:hint="eastAsia" w:ascii="仿宋" w:hAnsi="仿宋" w:eastAsia="仿宋" w:cs="仿宋"/>
          <w:sz w:val="32"/>
          <w:szCs w:val="32"/>
          <w:lang w:eastAsia="zh-CN"/>
        </w:rPr>
        <w:t>伊春市汤旺县伊嘉公路北、游客服务中心东侧</w:t>
      </w:r>
      <w:r>
        <w:rPr>
          <w:rFonts w:hint="eastAsia" w:ascii="仿宋" w:hAnsi="仿宋" w:eastAsia="仿宋" w:cs="仿宋"/>
          <w:sz w:val="32"/>
          <w:szCs w:val="32"/>
        </w:rPr>
        <w:t>，</w:t>
      </w:r>
      <w:bookmarkEnd w:id="0"/>
      <w:bookmarkEnd w:id="1"/>
      <w:bookmarkEnd w:id="2"/>
      <w:bookmarkEnd w:id="3"/>
      <w:r>
        <w:rPr>
          <w:rFonts w:hint="eastAsia" w:ascii="仿宋" w:hAnsi="仿宋" w:eastAsia="仿宋" w:cs="仿宋"/>
          <w:sz w:val="32"/>
          <w:szCs w:val="32"/>
          <w:lang w:eastAsia="zh-CN"/>
        </w:rPr>
        <w:t>本项目占地面积</w:t>
      </w:r>
      <w:r>
        <w:rPr>
          <w:rFonts w:hint="eastAsia" w:ascii="仿宋" w:hAnsi="仿宋" w:eastAsia="仿宋" w:cs="仿宋"/>
          <w:sz w:val="32"/>
          <w:szCs w:val="32"/>
          <w:lang w:val="en-US" w:eastAsia="zh-CN"/>
        </w:rPr>
        <w:t>1728.84m2，建筑面积260m2，站房建筑面积200m2，洗车间建筑面积60m2。</w:t>
      </w:r>
      <w:r>
        <w:rPr>
          <w:rFonts w:hint="eastAsia" w:ascii="仿宋" w:hAnsi="仿宋" w:eastAsia="仿宋" w:cs="仿宋"/>
          <w:sz w:val="32"/>
          <w:szCs w:val="32"/>
        </w:rPr>
        <w:t>油罐区设有</w:t>
      </w:r>
      <w:r>
        <w:rPr>
          <w:rFonts w:hint="eastAsia" w:ascii="仿宋" w:hAnsi="仿宋" w:eastAsia="仿宋" w:cs="仿宋"/>
          <w:sz w:val="32"/>
          <w:szCs w:val="32"/>
          <w:lang w:val="en-US" w:eastAsia="zh-CN"/>
        </w:rPr>
        <w:t>2</w:t>
      </w:r>
      <w:r>
        <w:rPr>
          <w:rFonts w:hint="eastAsia" w:ascii="仿宋" w:hAnsi="仿宋" w:eastAsia="仿宋" w:cs="仿宋"/>
          <w:sz w:val="32"/>
          <w:szCs w:val="32"/>
        </w:rPr>
        <w:t>汽</w:t>
      </w:r>
      <w:r>
        <w:rPr>
          <w:rFonts w:hint="eastAsia" w:ascii="仿宋" w:hAnsi="仿宋" w:eastAsia="仿宋" w:cs="仿宋"/>
          <w:sz w:val="32"/>
          <w:szCs w:val="32"/>
          <w:lang w:val="en-US" w:eastAsia="zh-CN"/>
        </w:rPr>
        <w:t>2</w:t>
      </w:r>
      <w:r>
        <w:rPr>
          <w:rFonts w:hint="eastAsia" w:ascii="仿宋" w:hAnsi="仿宋" w:eastAsia="仿宋" w:cs="仿宋"/>
          <w:sz w:val="32"/>
          <w:szCs w:val="32"/>
        </w:rPr>
        <w:t>柴共</w:t>
      </w:r>
      <w:r>
        <w:rPr>
          <w:rFonts w:hint="eastAsia" w:ascii="仿宋" w:hAnsi="仿宋" w:eastAsia="仿宋" w:cs="仿宋"/>
          <w:sz w:val="32"/>
          <w:szCs w:val="32"/>
          <w:lang w:val="en-US" w:eastAsia="zh-CN"/>
        </w:rPr>
        <w:t>4</w:t>
      </w:r>
      <w:r>
        <w:rPr>
          <w:rFonts w:hint="eastAsia" w:ascii="仿宋" w:hAnsi="仿宋" w:eastAsia="仿宋" w:cs="仿宋"/>
          <w:sz w:val="32"/>
          <w:szCs w:val="32"/>
        </w:rPr>
        <w:t>座</w:t>
      </w:r>
      <w:r>
        <w:rPr>
          <w:rFonts w:hint="eastAsia" w:ascii="仿宋" w:hAnsi="仿宋" w:eastAsia="仿宋" w:cs="仿宋"/>
          <w:sz w:val="32"/>
          <w:szCs w:val="32"/>
          <w:lang w:val="en-US" w:eastAsia="zh-CN"/>
        </w:rPr>
        <w:t>50m3</w:t>
      </w:r>
      <w:r>
        <w:rPr>
          <w:rFonts w:hint="eastAsia" w:ascii="仿宋" w:hAnsi="仿宋" w:eastAsia="仿宋" w:cs="仿宋"/>
          <w:sz w:val="32"/>
          <w:szCs w:val="32"/>
        </w:rPr>
        <w:t>SF双层油罐</w:t>
      </w:r>
      <w:r>
        <w:rPr>
          <w:rFonts w:hint="eastAsia" w:ascii="仿宋" w:hAnsi="仿宋" w:eastAsia="仿宋" w:cs="仿宋"/>
          <w:sz w:val="32"/>
          <w:szCs w:val="32"/>
          <w:lang w:eastAsia="zh-CN"/>
        </w:rPr>
        <w:t>，</w:t>
      </w:r>
      <w:r>
        <w:rPr>
          <w:rFonts w:hint="eastAsia" w:ascii="仿宋" w:hAnsi="仿宋" w:eastAsia="仿宋" w:cs="仿宋"/>
          <w:sz w:val="32"/>
          <w:szCs w:val="32"/>
        </w:rPr>
        <w:t>折合总容积</w:t>
      </w:r>
      <w:r>
        <w:rPr>
          <w:rFonts w:hint="eastAsia" w:ascii="仿宋" w:hAnsi="仿宋" w:eastAsia="仿宋" w:cs="仿宋"/>
          <w:sz w:val="32"/>
          <w:szCs w:val="32"/>
          <w:lang w:val="en-US" w:eastAsia="zh-CN"/>
        </w:rPr>
        <w:t>150</w:t>
      </w:r>
      <w:r>
        <w:rPr>
          <w:rFonts w:hint="eastAsia" w:ascii="仿宋" w:hAnsi="仿宋" w:eastAsia="仿宋" w:cs="仿宋"/>
          <w:sz w:val="32"/>
          <w:szCs w:val="32"/>
        </w:rPr>
        <w:t>m3</w:t>
      </w:r>
      <w:r>
        <w:rPr>
          <w:rFonts w:hint="eastAsia" w:ascii="仿宋" w:hAnsi="仿宋" w:eastAsia="仿宋" w:cs="仿宋"/>
          <w:sz w:val="32"/>
          <w:szCs w:val="32"/>
          <w:lang w:eastAsia="zh-CN"/>
        </w:rPr>
        <w:t>；罩棚</w:t>
      </w:r>
      <w:r>
        <w:rPr>
          <w:rFonts w:hint="eastAsia" w:ascii="仿宋" w:hAnsi="仿宋" w:eastAsia="仿宋" w:cs="仿宋"/>
          <w:sz w:val="32"/>
          <w:szCs w:val="32"/>
          <w:lang w:val="en-US" w:eastAsia="zh-CN"/>
        </w:rPr>
        <w:t>1座，投影面积306m2，</w:t>
      </w:r>
      <w:r>
        <w:rPr>
          <w:rFonts w:hint="eastAsia" w:ascii="仿宋" w:hAnsi="仿宋" w:eastAsia="仿宋" w:cs="仿宋"/>
          <w:sz w:val="32"/>
          <w:szCs w:val="32"/>
        </w:rPr>
        <w:t>加油岛</w:t>
      </w:r>
      <w:r>
        <w:rPr>
          <w:rFonts w:hint="eastAsia" w:ascii="仿宋" w:hAnsi="仿宋" w:eastAsia="仿宋" w:cs="仿宋"/>
          <w:sz w:val="32"/>
          <w:szCs w:val="32"/>
          <w:lang w:val="en-US" w:eastAsia="zh-CN"/>
        </w:rPr>
        <w:t>4</w:t>
      </w:r>
      <w:r>
        <w:rPr>
          <w:rFonts w:hint="eastAsia" w:ascii="仿宋" w:hAnsi="仿宋" w:eastAsia="仿宋" w:cs="仿宋"/>
          <w:sz w:val="32"/>
          <w:szCs w:val="32"/>
        </w:rPr>
        <w:t>座，</w:t>
      </w:r>
      <w:r>
        <w:rPr>
          <w:rFonts w:hint="eastAsia" w:ascii="仿宋" w:hAnsi="仿宋" w:eastAsia="仿宋" w:cs="仿宋"/>
          <w:sz w:val="32"/>
          <w:szCs w:val="32"/>
          <w:lang w:val="en-US" w:eastAsia="zh-CN"/>
        </w:rPr>
        <w:t>设4台双枪双油品潜油泵加油机。</w:t>
      </w:r>
      <w:r>
        <w:rPr>
          <w:rFonts w:hint="eastAsia" w:ascii="仿宋" w:hAnsi="仿宋" w:eastAsia="仿宋" w:cs="仿宋"/>
          <w:sz w:val="32"/>
          <w:szCs w:val="32"/>
          <w:lang w:eastAsia="zh-CN"/>
        </w:rPr>
        <w:t>项目</w:t>
      </w:r>
      <w:r>
        <w:rPr>
          <w:rFonts w:hint="eastAsia" w:ascii="仿宋" w:hAnsi="仿宋" w:eastAsia="仿宋" w:cs="仿宋"/>
          <w:sz w:val="32"/>
          <w:szCs w:val="32"/>
        </w:rPr>
        <w:t>年销售油品汽油</w:t>
      </w:r>
      <w:r>
        <w:rPr>
          <w:rFonts w:hint="eastAsia" w:ascii="仿宋" w:hAnsi="仿宋" w:eastAsia="仿宋" w:cs="仿宋"/>
          <w:sz w:val="32"/>
          <w:szCs w:val="32"/>
          <w:lang w:val="en-US" w:eastAsia="zh-CN"/>
        </w:rPr>
        <w:t>400</w:t>
      </w:r>
      <w:r>
        <w:rPr>
          <w:rFonts w:hint="eastAsia" w:ascii="仿宋" w:hAnsi="仿宋" w:eastAsia="仿宋" w:cs="仿宋"/>
          <w:sz w:val="32"/>
          <w:szCs w:val="32"/>
        </w:rPr>
        <w:t>t、柴油</w:t>
      </w:r>
      <w:r>
        <w:rPr>
          <w:rFonts w:hint="eastAsia" w:ascii="仿宋" w:hAnsi="仿宋" w:eastAsia="仿宋" w:cs="仿宋"/>
          <w:sz w:val="32"/>
          <w:szCs w:val="32"/>
          <w:lang w:val="en-US" w:eastAsia="zh-CN"/>
        </w:rPr>
        <w:t>300</w:t>
      </w:r>
      <w:r>
        <w:rPr>
          <w:rFonts w:hint="eastAsia" w:ascii="仿宋" w:hAnsi="仿宋" w:eastAsia="仿宋" w:cs="仿宋"/>
          <w:sz w:val="32"/>
          <w:szCs w:val="32"/>
        </w:rPr>
        <w:t>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加油站建站等级为二级站。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项目用地性质为</w:t>
      </w:r>
      <w:r>
        <w:rPr>
          <w:rFonts w:hint="eastAsia" w:ascii="仿宋" w:hAnsi="仿宋" w:eastAsia="仿宋" w:cs="仿宋"/>
          <w:sz w:val="32"/>
          <w:szCs w:val="32"/>
          <w:lang w:eastAsia="zh-CN"/>
        </w:rPr>
        <w:t>零售商业用地</w:t>
      </w:r>
      <w:r>
        <w:rPr>
          <w:rFonts w:hint="eastAsia" w:ascii="仿宋" w:hAnsi="仿宋" w:eastAsia="仿宋" w:cs="仿宋"/>
          <w:sz w:val="32"/>
          <w:szCs w:val="32"/>
        </w:rPr>
        <w:t>，用地性质符合国家规定。</w:t>
      </w:r>
      <w:r>
        <w:rPr>
          <w:rFonts w:hint="eastAsia" w:ascii="仿宋" w:hAnsi="仿宋" w:eastAsia="仿宋" w:cs="仿宋"/>
          <w:sz w:val="32"/>
          <w:szCs w:val="32"/>
          <w:lang w:eastAsia="zh-CN"/>
        </w:rPr>
        <w:t>站区</w:t>
      </w:r>
      <w:r>
        <w:rPr>
          <w:rFonts w:hint="eastAsia" w:ascii="仿宋" w:hAnsi="仿宋" w:eastAsia="仿宋" w:cs="仿宋"/>
          <w:sz w:val="32"/>
          <w:szCs w:val="32"/>
        </w:rPr>
        <w:t>地理位置交通便利，基础设施齐全，与周边环境协调。项目不在风景名胜区、自然保护区、水源保护区及其他需要特别保护的区域内，没有明显的环境制约因素，项目选址合理。</w:t>
      </w:r>
      <w:r>
        <w:rPr>
          <w:rFonts w:hint="eastAsia" w:ascii="仿宋" w:hAnsi="仿宋" w:eastAsia="仿宋" w:cs="仿宋"/>
          <w:sz w:val="32"/>
          <w:szCs w:val="32"/>
          <w:lang w:eastAsia="zh-CN"/>
        </w:rPr>
        <w:t>项目</w:t>
      </w:r>
      <w:r>
        <w:rPr>
          <w:rFonts w:hint="eastAsia" w:ascii="仿宋" w:hAnsi="仿宋" w:eastAsia="仿宋" w:cs="仿宋"/>
          <w:sz w:val="32"/>
          <w:szCs w:val="32"/>
        </w:rPr>
        <w:t>厂界</w:t>
      </w:r>
      <w:r>
        <w:rPr>
          <w:rFonts w:hint="eastAsia" w:ascii="仿宋" w:hAnsi="仿宋" w:eastAsia="仿宋" w:cs="仿宋"/>
          <w:sz w:val="32"/>
          <w:szCs w:val="32"/>
          <w:lang w:eastAsia="zh-CN"/>
        </w:rPr>
        <w:t>西</w:t>
      </w:r>
      <w:r>
        <w:rPr>
          <w:rFonts w:hint="eastAsia" w:ascii="仿宋" w:hAnsi="仿宋" w:eastAsia="仿宋" w:cs="仿宋"/>
          <w:sz w:val="32"/>
          <w:szCs w:val="32"/>
        </w:rPr>
        <w:t>侧</w:t>
      </w:r>
      <w:r>
        <w:rPr>
          <w:rFonts w:hint="eastAsia" w:ascii="仿宋" w:hAnsi="仿宋" w:eastAsia="仿宋" w:cs="仿宋"/>
          <w:sz w:val="32"/>
          <w:szCs w:val="32"/>
          <w:lang w:eastAsia="zh-CN"/>
        </w:rPr>
        <w:t>为游客服务中心，北侧为空地，东侧为道路、隔路为闲置房屋，</w:t>
      </w:r>
      <w:r>
        <w:rPr>
          <w:rFonts w:hint="eastAsia" w:ascii="仿宋" w:hAnsi="仿宋" w:eastAsia="仿宋" w:cs="仿宋"/>
          <w:sz w:val="32"/>
          <w:szCs w:val="32"/>
        </w:rPr>
        <w:t>厂界</w:t>
      </w:r>
      <w:r>
        <w:rPr>
          <w:rFonts w:hint="eastAsia" w:ascii="仿宋" w:hAnsi="仿宋" w:eastAsia="仿宋" w:cs="仿宋"/>
          <w:sz w:val="32"/>
          <w:szCs w:val="32"/>
          <w:lang w:eastAsia="zh-CN"/>
        </w:rPr>
        <w:t>南</w:t>
      </w:r>
      <w:r>
        <w:rPr>
          <w:rFonts w:hint="eastAsia" w:ascii="仿宋" w:hAnsi="仿宋" w:eastAsia="仿宋" w:cs="仿宋"/>
          <w:sz w:val="32"/>
          <w:szCs w:val="32"/>
        </w:rPr>
        <w:t>侧为</w:t>
      </w:r>
      <w:r>
        <w:rPr>
          <w:rFonts w:hint="eastAsia" w:ascii="仿宋" w:hAnsi="仿宋" w:eastAsia="仿宋" w:cs="仿宋"/>
          <w:sz w:val="32"/>
          <w:szCs w:val="32"/>
          <w:lang w:eastAsia="zh-CN"/>
        </w:rPr>
        <w:t>绿地</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val="en-US" w:eastAsia="zh-CN" w:bidi="ar-SA"/>
        </w:rPr>
        <w:t>二、</w:t>
      </w:r>
      <w:r>
        <w:rPr>
          <w:rFonts w:hint="eastAsia" w:asciiTheme="minorEastAsia" w:hAnsiTheme="minorEastAsia" w:eastAsiaTheme="minorEastAsia" w:cstheme="minorEastAsia"/>
          <w:b/>
          <w:bCs/>
          <w:kern w:val="0"/>
          <w:sz w:val="32"/>
          <w:szCs w:val="32"/>
          <w:lang w:eastAsia="zh-CN"/>
        </w:rPr>
        <w:t>施工期应做到的污染防治措施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、废气污染防治措施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作业场地应设置2m高围挡以减少扬尘扩散。定期对施工场地洒水以减少二次扬尘作业面；加强粉状建材转运与使用的管理，运输散装建材应采用专用车辆，并加以覆盖，对车辆运输中丢撒的弃土要及时清扫、冲洗。</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建设单位应对施工单位加强监管，在招标中明确施工期环境保护要求，要求施工单位文明施工，如施工场地硬化，及时清运建筑垃圾，土方和物料堆存应采取</w:t>
      </w:r>
      <w:r>
        <w:rPr>
          <w:rFonts w:hint="eastAsia" w:ascii="仿宋" w:hAnsi="仿宋" w:eastAsia="仿宋" w:cs="仿宋"/>
          <w:sz w:val="32"/>
          <w:szCs w:val="32"/>
          <w:lang w:val="en-US" w:eastAsia="zh-CN"/>
        </w:rPr>
        <w:t>篷</w:t>
      </w:r>
      <w:r>
        <w:rPr>
          <w:rFonts w:hint="eastAsia" w:ascii="仿宋" w:hAnsi="仿宋" w:eastAsia="仿宋" w:cs="仿宋"/>
          <w:sz w:val="32"/>
          <w:szCs w:val="32"/>
          <w:lang w:eastAsia="zh-CN"/>
        </w:rPr>
        <w:t>布覆盖、表面洒水抑尘或表面夯实处理等措施抑尘。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2、废水污染防治措施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议建设单位委托施工单位分类收集施工废水和生活污水。施工废水不得以渗坑、渗井或漫流方式排放。施工工地的施工废水经沉淀处理达标后方用于场地抑尘，杜绝随意排放。施工人员生活污水排入防渗旱厕，定期清掏堆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3、施工期噪声污染防治措施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合理布局施工现场，合理安排施工时间，降低设备声级，施工时采用降噪作业方式，最大限度地降低人为噪音，局部隔声降噪措施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4、施工期固体废物污染防治措施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施工现场，设置生活垃圾收集桶，对生活垃圾进行统一收集，定期送往环卫部门生活垃圾指定堆放点。严格建筑垃圾的管理，施工中尽量综合利用，不能利用的建筑垃圾集中堆存，采取苫布遮盖措施，运往政府指定处置地点。</w:t>
      </w:r>
    </w:p>
    <w:p>
      <w:pPr>
        <w:pStyle w:val="14"/>
        <w:adjustRightInd/>
        <w:snapToGrid/>
        <w:spacing w:line="360" w:lineRule="auto"/>
        <w:ind w:firstLine="643" w:firstLineChars="200"/>
        <w:outlineLvl w:val="0"/>
        <w:rPr>
          <w:rFonts w:hint="eastAsia" w:ascii="新宋体" w:hAnsi="新宋体" w:eastAsia="新宋体" w:cs="新宋体"/>
          <w:b/>
          <w:bCs/>
          <w:kern w:val="0"/>
          <w:sz w:val="32"/>
          <w:szCs w:val="32"/>
          <w:lang w:eastAsia="zh-CN"/>
        </w:rPr>
      </w:pPr>
      <w:r>
        <w:rPr>
          <w:rFonts w:hint="eastAsia" w:ascii="新宋体" w:hAnsi="新宋体" w:eastAsia="新宋体" w:cs="新宋体"/>
          <w:b/>
          <w:bCs/>
          <w:kern w:val="0"/>
          <w:sz w:val="32"/>
          <w:szCs w:val="32"/>
          <w:lang w:eastAsia="zh-CN"/>
        </w:rPr>
        <w:t>三、运营期应做到的污染防治措施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废气</w:t>
      </w:r>
    </w:p>
    <w:p>
      <w:pPr>
        <w:ind w:firstLine="640" w:firstLineChars="200"/>
        <w:rPr>
          <w:rFonts w:hint="default" w:ascii="仿宋" w:hAnsi="仿宋" w:eastAsia="仿宋" w:cs="仿宋"/>
          <w:sz w:val="32"/>
          <w:szCs w:val="32"/>
          <w:lang w:eastAsia="zh-CN"/>
        </w:rPr>
      </w:pPr>
      <w:r>
        <w:rPr>
          <w:rFonts w:hint="default" w:ascii="仿宋" w:hAnsi="仿宋" w:eastAsia="仿宋" w:cs="仿宋"/>
          <w:sz w:val="32"/>
          <w:szCs w:val="32"/>
          <w:lang w:eastAsia="zh-CN"/>
        </w:rPr>
        <w:t>建设卸油油气回收系统、汽油加油油气回收系统，汽油罐和柴油灌的通气管分开设置，管口高出地面4m，并在通气管管口应安装阻火器。应保证汽油罐和柴油灌的通气管分开设置，管口高出地面不低于4m 以上，并在通气管管口应安装阻火器，汽油储油罐小呼吸采用油气回收装置，储油罐呼吸管排放口安装呼吸阀。</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生活污水排放量为</w:t>
      </w:r>
      <w:r>
        <w:rPr>
          <w:rFonts w:hint="eastAsia" w:ascii="仿宋" w:hAnsi="仿宋" w:eastAsia="仿宋" w:cs="仿宋"/>
          <w:sz w:val="32"/>
          <w:szCs w:val="32"/>
          <w:lang w:val="en-US" w:eastAsia="zh-CN"/>
        </w:rPr>
        <w:t>186.88</w:t>
      </w:r>
      <w:r>
        <w:rPr>
          <w:rFonts w:hint="eastAsia" w:ascii="仿宋" w:hAnsi="仿宋" w:eastAsia="仿宋" w:cs="仿宋"/>
          <w:sz w:val="32"/>
          <w:szCs w:val="32"/>
          <w:lang w:eastAsia="zh-CN"/>
        </w:rPr>
        <w:t>t/a。</w:t>
      </w:r>
      <w:r>
        <w:rPr>
          <w:rFonts w:hint="default" w:ascii="仿宋" w:hAnsi="仿宋" w:eastAsia="仿宋" w:cs="仿宋"/>
          <w:sz w:val="32"/>
          <w:szCs w:val="32"/>
          <w:lang w:eastAsia="zh-CN"/>
        </w:rPr>
        <w:t>生活污水主要污染物为COD和氨氮。</w:t>
      </w:r>
      <w:r>
        <w:rPr>
          <w:rFonts w:hint="eastAsia" w:ascii="仿宋" w:hAnsi="仿宋" w:eastAsia="仿宋" w:cs="仿宋"/>
          <w:sz w:val="32"/>
          <w:szCs w:val="32"/>
          <w:lang w:eastAsia="zh-CN"/>
        </w:rPr>
        <w:t>生活污水排入市政管网，经过伊春市汤旺河区污水处理厂处理达标后排入汤旺河。洗车废水排水量为</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t/d，</w:t>
      </w:r>
      <w:r>
        <w:rPr>
          <w:rFonts w:hint="eastAsia" w:ascii="仿宋" w:hAnsi="仿宋" w:eastAsia="仿宋" w:cs="仿宋"/>
          <w:sz w:val="32"/>
          <w:szCs w:val="32"/>
          <w:lang w:val="en-US" w:eastAsia="zh-CN"/>
        </w:rPr>
        <w:t>438</w:t>
      </w:r>
      <w:r>
        <w:rPr>
          <w:rFonts w:hint="eastAsia" w:ascii="仿宋" w:hAnsi="仿宋" w:eastAsia="仿宋" w:cs="仿宋"/>
          <w:sz w:val="32"/>
          <w:szCs w:val="32"/>
          <w:lang w:eastAsia="zh-CN"/>
        </w:rPr>
        <w:t>t/a，设置一座</w:t>
      </w:r>
      <w:r>
        <w:rPr>
          <w:rFonts w:hint="eastAsia" w:ascii="仿宋" w:hAnsi="仿宋" w:eastAsia="仿宋" w:cs="仿宋"/>
          <w:sz w:val="32"/>
          <w:szCs w:val="32"/>
          <w:lang w:val="en-US" w:eastAsia="zh-CN"/>
        </w:rPr>
        <w:t>1.5m3隔油沉淀池，采用隔油沉淀池处理漂浮油和沉淀较大颗粒物，再用集油器收集漂浮油，与污泥一并作为油泥委托有资质单位储处置</w:t>
      </w:r>
      <w:r>
        <w:rPr>
          <w:rFonts w:hint="eastAsia" w:ascii="仿宋" w:hAnsi="仿宋" w:eastAsia="仿宋" w:cs="仿宋"/>
          <w:sz w:val="32"/>
          <w:szCs w:val="32"/>
          <w:lang w:eastAsia="zh-CN"/>
        </w:rPr>
        <w:t>。生活污水经防渗化粪池后，洗车废水经隔油沉淀池处理后，一并排入市政管网。</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xml:space="preserve">、噪声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为减少各噪声源对周边声环境的影响，可从设备选型、隔声降噪、布局和加强管理等方面进一步考虑噪声的防治措施：</w:t>
      </w:r>
      <w:r>
        <w:rPr>
          <w:rFonts w:hint="eastAsia" w:ascii="仿宋" w:hAnsi="仿宋" w:eastAsia="仿宋" w:cs="仿宋"/>
          <w:sz w:val="32"/>
          <w:szCs w:val="32"/>
          <w:lang w:val="en-US" w:eastAsia="zh-CN"/>
        </w:rPr>
        <w:t>在满足生产工艺要求的前提下，应选用先进的低噪设备，从声源上降低设备本身噪声；</w:t>
      </w:r>
      <w:r>
        <w:rPr>
          <w:rFonts w:hint="eastAsia" w:ascii="仿宋" w:hAnsi="仿宋" w:eastAsia="仿宋" w:cs="仿宋"/>
          <w:sz w:val="32"/>
          <w:szCs w:val="32"/>
          <w:lang w:eastAsia="zh-CN"/>
        </w:rPr>
        <w:t>泵类设备应按要求进行安装，做好动平衡，减少振动的发生；应做好加油机的维修和保养工作，确保其处于良好的工作状态，从而降低噪声的产生；加油站入口处应设置限速标示，使出入加油站的车辆减速慢行，从而降低交通噪声对周围环境造成的影响；加油站内要设置禁止鸣笛标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、固体废物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运营过程中产生的固体废物为生活垃圾、隔油沉淀池油泥及油罐底泥。生活垃圾定期交由环卫部门进行清运。 油罐底泥产生后直接委托有资质单位处置，站内不存储。洗车工序隔油沉淀池油泥产生量约为0.5t/a，产生后直接委托有资质单位处置，站内不存储。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、地下水、土壤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站内进行分区防渗，重点防渗区为埋地罐区、隔油沉淀池，防渗性能应不低于6.0m厚、渗透系数≤10-7cm/s。油罐采用双层油罐；一般防渗区为油罐区地面、加油区、洗车房及站内道路等区域，防渗性能应不低于1.5m厚、渗透系数≤10-7cm/s，采用混凝土地面。经上述措施后，对周围土壤环境影响较小，且在加油站站界内油罐区下游建设监测井，井深</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米。</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ascii="新宋体" w:hAnsi="新宋体" w:eastAsia="新宋体" w:cs="新宋体"/>
          <w:b/>
          <w:bCs/>
          <w:kern w:val="0"/>
          <w:sz w:val="32"/>
          <w:szCs w:val="32"/>
          <w:lang w:eastAsia="zh-CN"/>
        </w:rPr>
      </w:pPr>
      <w:r>
        <w:rPr>
          <w:rFonts w:hint="eastAsia" w:ascii="新宋体" w:hAnsi="新宋体" w:eastAsia="新宋体" w:cs="新宋体"/>
          <w:b/>
          <w:bCs/>
          <w:kern w:val="0"/>
          <w:sz w:val="32"/>
          <w:szCs w:val="32"/>
          <w:lang w:val="en-US" w:eastAsia="zh-CN" w:bidi="ar-SA"/>
        </w:rPr>
        <w:t>四、</w:t>
      </w:r>
      <w:r>
        <w:rPr>
          <w:rFonts w:hint="eastAsia" w:ascii="新宋体" w:hAnsi="新宋体" w:eastAsia="新宋体" w:cs="新宋体"/>
          <w:b/>
          <w:bCs/>
          <w:kern w:val="0"/>
          <w:sz w:val="32"/>
          <w:szCs w:val="32"/>
          <w:lang w:eastAsia="zh-CN"/>
        </w:rPr>
        <w:t>结论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根据你单位环评文件结论，必须要在全面落实环评文件提出的各项生态环境保护措施的前提下，项目建设对生态</w:t>
      </w:r>
      <w:r>
        <w:rPr>
          <w:rFonts w:hint="eastAsia" w:ascii="仿宋" w:hAnsi="仿宋" w:eastAsia="仿宋" w:cs="仿宋"/>
          <w:sz w:val="32"/>
          <w:szCs w:val="32"/>
          <w:lang w:val="en-US" w:eastAsia="zh-CN"/>
        </w:rPr>
        <w:t>环</w:t>
      </w:r>
      <w:bookmarkStart w:id="4" w:name="_GoBack"/>
      <w:bookmarkEnd w:id="4"/>
      <w:r>
        <w:rPr>
          <w:rFonts w:hint="eastAsia" w:ascii="仿宋" w:hAnsi="仿宋" w:eastAsia="仿宋" w:cs="仿宋"/>
          <w:sz w:val="32"/>
          <w:szCs w:val="32"/>
        </w:rPr>
        <w:t>境的不利影响能够得到缓解和控制。我局原则同意环评文件的环境影响评价总体结论和各项生态保护措施。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此批复有效期为5年，如项目逾期未开工，其环评文件应当重新审核。环评文件经批准后，项目的性质、规模、工艺、地点或者防治污染的措施发生重大变化的，重新报批。</w:t>
      </w: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2"/>
        <w:rPr>
          <w:rFonts w:hint="eastAsia" w:ascii="仿宋" w:hAnsi="仿宋" w:eastAsia="仿宋" w:cs="仿宋"/>
          <w:sz w:val="32"/>
          <w:szCs w:val="32"/>
        </w:rPr>
      </w:pPr>
    </w:p>
    <w:p>
      <w:pPr>
        <w:pStyle w:val="4"/>
        <w:rPr>
          <w:rFonts w:hint="eastAsia"/>
        </w:rPr>
      </w:pP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伊春市汤旺生态环境局</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spacing w:line="560" w:lineRule="exact"/>
        <w:ind w:firstLine="4000" w:firstLineChars="125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4000" w:firstLineChars="125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4000" w:firstLineChars="125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2"/>
        <w:rPr>
          <w:rFonts w:ascii="Times New Roman" w:hAnsi="Times New Roman" w:eastAsia="仿宋_GB2312"/>
          <w:color w:val="auto"/>
          <w:sz w:val="32"/>
          <w:szCs w:val="32"/>
          <w:highlight w:val="none"/>
        </w:rPr>
      </w:pPr>
    </w:p>
    <w:p/>
    <w:p>
      <w:pPr>
        <w:spacing w:line="560" w:lineRule="exact"/>
        <w:ind w:firstLine="280" w:firstLineChars="100"/>
        <w:rPr>
          <w:rFonts w:hint="eastAsia" w:ascii="Times New Roman" w:hAnsi="Times New Roman" w:eastAsia="华文仿宋"/>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华文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447040</wp:posOffset>
                </wp:positionV>
                <wp:extent cx="52882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82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pt;height:0pt;width:416.4pt;z-index:251660288;mso-width-relative:page;mso-height-relative:page;" filled="f" stroked="t" coordsize="21600,21600" o:gfxdata="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E9JP1QAAAAYBAAAPAAAAAAAAAAEAIAAAACIAAABkcnMvZG93bnJldi54bWxQSwECFAAU&#10;AAAACACHTuJAPFOsdfQBAADlAwAADgAAAAAAAAABACAAAAAkAQAAZHJzL2Uyb0RvYy54bWxQSwUG&#10;AAAAAAYABgBZAQAAigUAAAAA&#10;">
                <v:fill on="f" focussize="0,0"/>
                <v:stroke weight="1pt" color="#000000" joinstyle="round"/>
                <v:imagedata o:title=""/>
                <o:lock v:ext="edit" aspectratio="f"/>
              </v:line>
            </w:pict>
          </mc:Fallback>
        </mc:AlternateContent>
      </w:r>
      <w:r>
        <w:rPr>
          <w:rFonts w:ascii="Times New Roman" w:hAnsi="Times New Roman" w:eastAsia="华文仿宋"/>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28828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2882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pt;width:416.4pt;z-index:251659264;mso-width-relative:page;mso-height-relative:page;" filled="f" stroked="t" coordsize="21600,21600" o:gfxdata="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lWA2dIAAAAEAQAADwAAAAAAAAABACAAAAAiAAAAZHJzL2Rvd25yZXYueG1sUEsBAhQAFAAA&#10;AAgAh07iQFGWPCn1AQAA5AMAAA4AAAAAAAAAAQAgAAAAIQ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eastAsia="华文仿宋"/>
          <w:color w:val="auto"/>
          <w:sz w:val="28"/>
          <w:szCs w:val="28"/>
          <w:highlight w:val="none"/>
          <w:lang w:eastAsia="zh-CN"/>
        </w:rPr>
        <w:t>伊春市汤旺生态环境局</w:t>
      </w:r>
      <w:r>
        <w:rPr>
          <w:rFonts w:ascii="Times New Roman" w:hAnsi="Times New Roman" w:eastAsia="华文仿宋"/>
          <w:color w:val="auto"/>
          <w:sz w:val="28"/>
          <w:szCs w:val="28"/>
          <w:highlight w:val="none"/>
        </w:rPr>
        <w:t xml:space="preserve">　　　　　　　 </w:t>
      </w:r>
      <w:r>
        <w:rPr>
          <w:rFonts w:hint="eastAsia" w:ascii="Times New Roman" w:hAnsi="Times New Roman" w:eastAsia="华文仿宋"/>
          <w:color w:val="auto"/>
          <w:sz w:val="28"/>
          <w:szCs w:val="28"/>
          <w:highlight w:val="none"/>
          <w:lang w:eastAsia="zh-CN"/>
        </w:rPr>
        <w:t>2024年</w:t>
      </w:r>
      <w:r>
        <w:rPr>
          <w:rFonts w:hint="eastAsia" w:ascii="Times New Roman" w:hAnsi="Times New Roman" w:eastAsia="华文仿宋"/>
          <w:color w:val="auto"/>
          <w:sz w:val="28"/>
          <w:szCs w:val="28"/>
          <w:highlight w:val="none"/>
          <w:lang w:val="en-US" w:eastAsia="zh-CN"/>
        </w:rPr>
        <w:t>8</w:t>
      </w:r>
      <w:r>
        <w:rPr>
          <w:rFonts w:hint="eastAsia" w:ascii="Times New Roman" w:hAnsi="Times New Roman" w:eastAsia="华文仿宋"/>
          <w:color w:val="auto"/>
          <w:sz w:val="28"/>
          <w:szCs w:val="28"/>
          <w:highlight w:val="none"/>
          <w:lang w:eastAsia="zh-CN"/>
        </w:rPr>
        <w:t>月</w:t>
      </w:r>
      <w:r>
        <w:rPr>
          <w:rFonts w:hint="eastAsia" w:ascii="Times New Roman" w:hAnsi="Times New Roman" w:eastAsia="华文仿宋"/>
          <w:color w:val="auto"/>
          <w:sz w:val="28"/>
          <w:szCs w:val="28"/>
          <w:highlight w:val="none"/>
          <w:lang w:val="en-US" w:eastAsia="zh-CN"/>
        </w:rPr>
        <w:t>23</w:t>
      </w:r>
      <w:r>
        <w:rPr>
          <w:rFonts w:hint="eastAsia" w:ascii="Times New Roman" w:hAnsi="Times New Roman" w:eastAsia="华文仿宋"/>
          <w:color w:val="auto"/>
          <w:sz w:val="28"/>
          <w:szCs w:val="28"/>
          <w:highlight w:val="none"/>
          <w:lang w:eastAsia="zh-CN"/>
        </w:rPr>
        <w:t>日</w:t>
      </w:r>
      <w:r>
        <w:rPr>
          <w:rFonts w:ascii="Times New Roman" w:hAnsi="Times New Roman" w:eastAsia="华文仿宋"/>
          <w:color w:val="auto"/>
          <w:sz w:val="28"/>
          <w:szCs w:val="28"/>
          <w:highlight w:val="none"/>
        </w:rPr>
        <w:t>印</w:t>
      </w:r>
      <w:r>
        <w:rPr>
          <w:rFonts w:hint="eastAsia" w:ascii="Times New Roman" w:hAnsi="Times New Roman" w:eastAsia="华文仿宋"/>
          <w:color w:val="auto"/>
          <w:sz w:val="28"/>
          <w:szCs w:val="28"/>
          <w:highlight w:val="none"/>
          <w:lang w:val="en-US" w:eastAsia="zh-CN"/>
        </w:rPr>
        <w:t>发</w:t>
      </w: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06A33301"/>
    <w:rsid w:val="19AA6A80"/>
    <w:rsid w:val="23A65E9F"/>
    <w:rsid w:val="2B251EBB"/>
    <w:rsid w:val="6B5C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0"/>
    <w:pPr>
      <w:widowControl w:val="0"/>
      <w:autoSpaceDE w:val="0"/>
      <w:autoSpaceDN w:val="0"/>
    </w:pPr>
    <w:rPr>
      <w:rFonts w:hint="eastAsia" w:hAnsi="宋体"/>
      <w:color w:val="000000"/>
    </w:rPr>
  </w:style>
  <w:style w:type="paragraph" w:customStyle="1" w:styleId="3">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styleId="4">
    <w:name w:val="List"/>
    <w:basedOn w:val="1"/>
    <w:next w:val="1"/>
    <w:qFormat/>
    <w:uiPriority w:val="0"/>
    <w:pPr>
      <w:ind w:left="200" w:hanging="200" w:hangingChars="200"/>
    </w:pPr>
  </w:style>
  <w:style w:type="paragraph" w:styleId="5">
    <w:name w:val="Body Text"/>
    <w:basedOn w:val="1"/>
    <w:next w:val="1"/>
    <w:qFormat/>
    <w:uiPriority w:val="0"/>
    <w:rPr>
      <w:sz w:val="30"/>
    </w:rPr>
  </w:style>
  <w:style w:type="paragraph" w:styleId="6">
    <w:name w:val="Body Text Indent 2"/>
    <w:basedOn w:val="1"/>
    <w:next w:val="5"/>
    <w:qFormat/>
    <w:uiPriority w:val="0"/>
    <w:pPr>
      <w:spacing w:line="360" w:lineRule="auto"/>
      <w:ind w:firstLine="720" w:firstLineChars="200"/>
    </w:pPr>
    <w:rPr>
      <w:kern w:val="0"/>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style>
  <w:style w:type="paragraph" w:styleId="10">
    <w:name w:val="Body Text First Indent"/>
    <w:basedOn w:val="5"/>
    <w:next w:val="1"/>
    <w:qFormat/>
    <w:uiPriority w:val="0"/>
    <w:pPr>
      <w:spacing w:after="120"/>
      <w:ind w:firstLine="420" w:firstLineChars="100"/>
    </w:pPr>
    <w:rPr>
      <w:sz w:val="21"/>
    </w:rPr>
  </w:style>
  <w:style w:type="character" w:styleId="13">
    <w:name w:val="page number"/>
    <w:qFormat/>
    <w:uiPriority w:val="0"/>
  </w:style>
  <w:style w:type="paragraph" w:customStyle="1" w:styleId="14">
    <w:name w:val="三级标题"/>
    <w:basedOn w:val="1"/>
    <w:next w:val="1"/>
    <w:qFormat/>
    <w:uiPriority w:val="0"/>
    <w:pPr>
      <w:widowControl/>
      <w:adjustRightInd w:val="0"/>
      <w:snapToGrid w:val="0"/>
      <w:spacing w:line="520" w:lineRule="exact"/>
      <w:outlineLvl w:val="2"/>
    </w:pPr>
    <w:rPr>
      <w:rFonts w:eastAsia="仿宋"/>
      <w:b/>
      <w:sz w:val="28"/>
      <w:szCs w:val="28"/>
    </w:rPr>
  </w:style>
  <w:style w:type="paragraph" w:customStyle="1" w:styleId="15">
    <w:name w:val="报告表正文"/>
    <w:basedOn w:val="1"/>
    <w:qFormat/>
    <w:uiPriority w:val="0"/>
    <w:pPr>
      <w:widowControl/>
      <w:spacing w:line="360" w:lineRule="auto"/>
      <w:ind w:firstLine="720" w:firstLineChars="200"/>
    </w:pPr>
    <w:rPr>
      <w:rFonts w:hint="eastAsia"/>
      <w:kern w:val="0"/>
      <w:sz w:val="24"/>
      <w:szCs w:val="21"/>
    </w:rPr>
  </w:style>
  <w:style w:type="paragraph" w:customStyle="1" w:styleId="16">
    <w:name w:val="正文内容"/>
    <w:basedOn w:val="1"/>
    <w:qFormat/>
    <w:uiPriority w:val="0"/>
    <w:pPr>
      <w:ind w:firstLine="200" w:firstLineChars="200"/>
    </w:pPr>
    <w:rPr>
      <w:rFonts w:ascii="Times New Roman" w:hAnsi="Times New Roman"/>
      <w:sz w:val="28"/>
      <w:szCs w:val="24"/>
    </w:rPr>
  </w:style>
  <w:style w:type="paragraph" w:customStyle="1" w:styleId="17">
    <w:name w:val="首行缩进表格正文"/>
    <w:basedOn w:val="1"/>
    <w:qFormat/>
    <w:uiPriority w:val="0"/>
    <w:pPr>
      <w:spacing w:line="360" w:lineRule="auto"/>
      <w:ind w:firstLine="720" w:firstLineChars="200"/>
      <w:jc w:val="left"/>
    </w:pPr>
  </w:style>
  <w:style w:type="paragraph" w:customStyle="1" w:styleId="18">
    <w:name w:val="《正文》"/>
    <w:basedOn w:val="1"/>
    <w:qFormat/>
    <w:uiPriority w:val="0"/>
    <w:pPr>
      <w:spacing w:line="360" w:lineRule="auto"/>
      <w:ind w:firstLine="200" w:firstLineChars="200"/>
    </w:pPr>
    <w:rPr>
      <w:sz w:val="24"/>
    </w:rPr>
  </w:style>
  <w:style w:type="paragraph" w:customStyle="1" w:styleId="19">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1958</Words>
  <Characters>2061</Characters>
  <Lines>0</Lines>
  <Paragraphs>0</Paragraphs>
  <TotalTime>40</TotalTime>
  <ScaleCrop>false</ScaleCrop>
  <LinksUpToDate>false</LinksUpToDate>
  <CharactersWithSpaces>2081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Ly</cp:lastModifiedBy>
  <dcterms:modified xsi:type="dcterms:W3CDTF">2024-08-23T05:44:38Z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346FFA34085B497EBC39D519952B2361_11</vt:lpwstr>
  </property>
</Properties>
</file>