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20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0FC71DB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4E2B0DF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伊汤环审〔2025〕2号</w:t>
      </w:r>
    </w:p>
    <w:p w14:paraId="33FDCFF4">
      <w:pPr>
        <w:jc w:val="center"/>
        <w:rPr>
          <w:rFonts w:hint="eastAsia" w:ascii="新宋体" w:hAnsi="新宋体" w:eastAsia="新宋体" w:cs="新宋体"/>
          <w:b/>
          <w:bCs/>
          <w:sz w:val="44"/>
          <w:szCs w:val="44"/>
          <w:lang w:val="en-US" w:eastAsia="zh-CN"/>
        </w:rPr>
      </w:pPr>
    </w:p>
    <w:p w14:paraId="4BF37E77">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sz w:val="44"/>
          <w:szCs w:val="44"/>
        </w:rPr>
        <w:t>关于</w:t>
      </w:r>
      <w:r>
        <w:rPr>
          <w:rFonts w:hint="eastAsia" w:ascii="Times New Roman" w:hAnsi="Times New Roman" w:eastAsia="方正小标宋简体" w:cs="Times New Roman"/>
          <w:sz w:val="44"/>
          <w:szCs w:val="44"/>
          <w:lang w:eastAsia="zh-CN"/>
        </w:rPr>
        <w:t>汤旺县松蓝农产品商贸冷链基地有限公司建设项目</w:t>
      </w:r>
      <w:r>
        <w:rPr>
          <w:rFonts w:ascii="Times New Roman" w:hAnsi="Times New Roman" w:eastAsia="方正小标宋简体" w:cs="Times New Roman"/>
          <w:sz w:val="44"/>
          <w:szCs w:val="44"/>
        </w:rPr>
        <w:t>环境影响评价</w:t>
      </w:r>
    </w:p>
    <w:p w14:paraId="647DCA69">
      <w:pPr>
        <w:spacing w:line="560" w:lineRule="exact"/>
        <w:jc w:val="center"/>
        <w:rPr>
          <w:rFonts w:ascii="Times New Roman" w:hAnsi="Times New Roman" w:eastAsia="方正小标宋简体"/>
          <w:sz w:val="44"/>
          <w:szCs w:val="44"/>
        </w:rPr>
      </w:pPr>
      <w:r>
        <w:rPr>
          <w:rFonts w:ascii="Times New Roman" w:hAnsi="Times New Roman" w:eastAsia="方正小标宋简体" w:cs="Times New Roman"/>
          <w:sz w:val="44"/>
          <w:szCs w:val="44"/>
        </w:rPr>
        <w:t>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hint="eastAsia" w:ascii="Times New Roman" w:hAnsi="Times New Roman" w:eastAsia="仿宋"/>
          <w:sz w:val="32"/>
          <w:szCs w:val="32"/>
          <w:lang w:eastAsia="zh-CN"/>
        </w:rPr>
        <w:t>汤旺县松蓝农产品商贸冷链基地有限公司</w:t>
      </w:r>
      <w:r>
        <w:rPr>
          <w:rFonts w:ascii="Times New Roman" w:hAnsi="Times New Roman" w:eastAsia="仿宋"/>
          <w:sz w:val="32"/>
          <w:szCs w:val="32"/>
        </w:rPr>
        <w:t>：</w:t>
      </w:r>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w:t>
      </w:r>
      <w:r>
        <w:rPr>
          <w:rFonts w:hint="eastAsia" w:ascii="Times New Roman" w:hAnsi="Times New Roman" w:eastAsia="仿宋" w:cs="Times New Roman"/>
          <w:sz w:val="32"/>
          <w:szCs w:val="32"/>
          <w:lang w:eastAsia="zh-CN"/>
        </w:rPr>
        <w:t>汤旺县松蓝农产品商贸冷链基地有限公司建设项目</w:t>
      </w:r>
      <w:r>
        <w:rPr>
          <w:rFonts w:ascii="Times New Roman" w:hAnsi="Times New Roman" w:eastAsia="仿宋"/>
          <w:sz w:val="32"/>
          <w:szCs w:val="32"/>
        </w:rPr>
        <w:t>环境影响评价报告表》（以下简称《报告表》）收悉。经研究，批复如下：</w:t>
      </w:r>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791360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lang w:val="en-US" w:eastAsia="zh-CN"/>
        </w:rPr>
      </w:pPr>
      <w:bookmarkStart w:id="0" w:name="_Hlk113032400"/>
      <w:r>
        <w:rPr>
          <w:rFonts w:ascii="Times New Roman" w:hAnsi="Times New Roman" w:eastAsia="仿宋"/>
          <w:sz w:val="32"/>
          <w:szCs w:val="32"/>
        </w:rPr>
        <w:t>项目位于</w:t>
      </w:r>
      <w:r>
        <w:rPr>
          <w:rFonts w:hint="default" w:ascii="Times New Roman" w:hAnsi="Times New Roman" w:eastAsia="仿宋" w:cs="Times New Roman"/>
          <w:sz w:val="32"/>
          <w:szCs w:val="32"/>
        </w:rPr>
        <w:t>黑龙江省伊春市汤旺县文体和广电旅游局北侧</w:t>
      </w:r>
      <w:r>
        <w:rPr>
          <w:rFonts w:ascii="Times New Roman" w:hAnsi="Times New Roman" w:eastAsia="仿宋" w:cs="Times New Roman"/>
          <w:sz w:val="32"/>
          <w:szCs w:val="32"/>
        </w:rPr>
        <w:t>，</w:t>
      </w:r>
      <w:bookmarkEnd w:id="0"/>
      <w:r>
        <w:rPr>
          <w:rFonts w:hint="eastAsia" w:ascii="Times New Roman" w:hAnsi="Times New Roman" w:eastAsia="仿宋" w:cs="Times New Roman"/>
          <w:sz w:val="32"/>
          <w:szCs w:val="32"/>
          <w:lang w:val="en-US" w:eastAsia="zh-CN"/>
        </w:rPr>
        <w:t>项目占地面积5029.63m</w:t>
      </w:r>
      <w:r>
        <w:rPr>
          <w:rFonts w:hint="eastAsia" w:ascii="Times New Roman" w:hAnsi="Times New Roman" w:eastAsia="仿宋" w:cs="Times New Roman"/>
          <w:sz w:val="32"/>
          <w:szCs w:val="32"/>
          <w:vertAlign w:val="superscript"/>
          <w:lang w:val="en-US" w:eastAsia="zh-CN"/>
        </w:rPr>
        <w:t>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建设</w:t>
      </w:r>
      <w:r>
        <w:rPr>
          <w:rFonts w:hint="eastAsia" w:ascii="Times New Roman" w:hAnsi="Times New Roman" w:eastAsia="仿宋" w:cs="Times New Roman"/>
          <w:sz w:val="32"/>
          <w:szCs w:val="32"/>
          <w:lang w:val="en-US" w:eastAsia="zh-CN"/>
        </w:rPr>
        <w:t>内容</w:t>
      </w:r>
      <w:r>
        <w:rPr>
          <w:rFonts w:hint="default" w:ascii="Times New Roman" w:hAnsi="Times New Roman" w:eastAsia="仿宋" w:cs="Times New Roman"/>
          <w:sz w:val="32"/>
          <w:szCs w:val="32"/>
          <w:lang w:val="en-US" w:eastAsia="zh-CN"/>
        </w:rPr>
        <w:t>包括生产车间、锅炉房等设施，生产车间年产桦树汁1500吨、蓝莓原浆300吨，蓝莓果酒30吨，锅炉房内设置一台4t/h燃生物质锅炉</w:t>
      </w:r>
      <w:r>
        <w:rPr>
          <w:rFonts w:hint="eastAsia" w:ascii="Times New Roman" w:hAnsi="Times New Roman" w:eastAsia="仿宋" w:cs="Times New Roman"/>
          <w:sz w:val="32"/>
          <w:szCs w:val="32"/>
          <w:lang w:val="en-US" w:eastAsia="zh-CN"/>
        </w:rPr>
        <w:t>。</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（一）施工期间管理</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Times New Roman"/>
          <w:color w:val="auto"/>
          <w:sz w:val="32"/>
          <w:szCs w:val="32"/>
          <w:highlight w:val="none"/>
          <w:lang w:val="en-US" w:eastAsia="zh-CN"/>
        </w:rPr>
        <w:t>项目施工期间主要污染源为施工机械、运输车辆汽车尾气，以及施工引起的粉尘和土料运输引起的道路扬尘等。企业需要加强施工扬尘、噪声污染控制，作业场地要采取围挡、围护措施，材料堆放场地应进行硬化处理，每天定期洒水抑尘，运输车辆要覆盖；生活污水排入防渗旱厕定期清掏，施工期生产废水沉淀后回用于生产，不外排。</w:t>
      </w:r>
      <w:r>
        <w:rPr>
          <w:rFonts w:hint="default" w:ascii="仿宋" w:hAnsi="仿宋" w:eastAsia="仿宋" w:cs="Times New Roman"/>
          <w:color w:val="auto"/>
          <w:sz w:val="32"/>
          <w:szCs w:val="32"/>
          <w:highlight w:val="none"/>
          <w:lang w:val="en-US" w:eastAsia="zh-CN"/>
        </w:rPr>
        <w:t>建筑垃圾拉运至市政部门指定地点，生活垃圾由环卫部门统一处置，避免随意堆放。</w:t>
      </w:r>
      <w:r>
        <w:rPr>
          <w:rFonts w:hint="eastAsia" w:ascii="仿宋" w:hAnsi="仿宋" w:eastAsia="仿宋" w:cs="Times New Roman"/>
          <w:color w:val="auto"/>
          <w:sz w:val="32"/>
          <w:szCs w:val="32"/>
          <w:highlight w:val="none"/>
          <w:lang w:val="en-US" w:eastAsia="zh-CN"/>
        </w:rPr>
        <w:t>施工期间需强化噪声污染控制，严格施工时间，需连续作业时，应向当地生态环境部门申请，批准后方可施工。</w:t>
      </w:r>
      <w:r>
        <w:rPr>
          <w:rFonts w:hint="eastAsia" w:ascii="仿宋" w:hAnsi="仿宋" w:eastAsia="仿宋" w:cs="仿宋"/>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1、大气环境</w:t>
      </w:r>
    </w:p>
    <w:p w14:paraId="7711CE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污水处理设施各池体进行全封闭，产生的恶臭气体经风机集气活性炭吸附后经15m高排气筒排放</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恶臭气体有组织排放执行《恶臭污染物排放标准》（GB14554-93）中的表2标准，无组织排放执行《恶臭污染物排放标准》（GB14554-93）表1中二级新扩改建标准值</w:t>
      </w:r>
      <w:r>
        <w:rPr>
          <w:rFonts w:hint="eastAsia" w:ascii="仿宋" w:hAnsi="仿宋" w:eastAsia="仿宋" w:cs="仿宋"/>
          <w:bCs/>
          <w:color w:val="auto"/>
          <w:sz w:val="32"/>
          <w:szCs w:val="32"/>
          <w:highlight w:val="none"/>
        </w:rPr>
        <w:t>。4t/h锅炉采用低氮燃烧技术，产生的烟气经旋风+布袋除尘器处理后经35m高排气筒排放</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污染物排放满足《锅炉大气污染物排放标准》（GB13271-2014）表2新建燃煤锅炉大气污染物排放标准要求。</w:t>
      </w:r>
    </w:p>
    <w:p w14:paraId="1BED6B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2、地表水环境保护</w:t>
      </w:r>
    </w:p>
    <w:p w14:paraId="76C0CF7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该项目设置一座污水处理站，处理能力为15t/h，处理工艺为水解酸化+厌氧+AO处理工艺，</w:t>
      </w:r>
      <w:r>
        <w:rPr>
          <w:rFonts w:hint="eastAsia" w:ascii="仿宋" w:hAnsi="仿宋" w:eastAsia="仿宋" w:cs="仿宋"/>
          <w:bCs/>
          <w:color w:val="auto"/>
          <w:sz w:val="32"/>
          <w:szCs w:val="32"/>
          <w:highlight w:val="none"/>
        </w:rPr>
        <w:t>项目废水</w:t>
      </w:r>
      <w:r>
        <w:rPr>
          <w:rFonts w:hint="eastAsia" w:ascii="仿宋" w:hAnsi="仿宋" w:eastAsia="仿宋" w:cs="仿宋"/>
          <w:bCs/>
          <w:color w:val="auto"/>
          <w:sz w:val="32"/>
          <w:szCs w:val="32"/>
          <w:highlight w:val="none"/>
          <w:lang w:val="en-US" w:eastAsia="zh-CN"/>
        </w:rPr>
        <w:t>经污水处理站</w:t>
      </w:r>
      <w:r>
        <w:rPr>
          <w:rFonts w:hint="eastAsia" w:ascii="仿宋" w:hAnsi="仿宋" w:eastAsia="仿宋" w:cs="仿宋"/>
          <w:bCs/>
          <w:color w:val="auto"/>
          <w:sz w:val="32"/>
          <w:szCs w:val="32"/>
          <w:highlight w:val="none"/>
        </w:rPr>
        <w:t>处理后</w:t>
      </w:r>
      <w:r>
        <w:rPr>
          <w:rFonts w:hint="eastAsia" w:ascii="仿宋" w:hAnsi="仿宋" w:eastAsia="仿宋" w:cs="仿宋"/>
          <w:bCs/>
          <w:color w:val="auto"/>
          <w:sz w:val="32"/>
          <w:szCs w:val="32"/>
          <w:highlight w:val="none"/>
          <w:lang w:val="en-US" w:eastAsia="zh-CN"/>
        </w:rPr>
        <w:t>排放浓度满足《发酵酒精和白酒工业水污染物排放标准》（GB27631-2011）表2标准，处理后的废水</w:t>
      </w:r>
      <w:r>
        <w:rPr>
          <w:rFonts w:hint="eastAsia" w:ascii="仿宋" w:hAnsi="仿宋" w:eastAsia="仿宋" w:cs="仿宋"/>
          <w:bCs/>
          <w:color w:val="auto"/>
          <w:sz w:val="32"/>
          <w:szCs w:val="32"/>
          <w:highlight w:val="none"/>
        </w:rPr>
        <w:t>经市政污水管网排入汤旺河污水处理厂。</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3、声环境保护</w:t>
      </w:r>
    </w:p>
    <w:p w14:paraId="0C28A7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选用低噪声设备，设备均安置于设备间内，建筑采取隔声、降噪措施，减少噪声对外环境的影响</w:t>
      </w:r>
      <w:r>
        <w:rPr>
          <w:rFonts w:hint="eastAsia" w:ascii="仿宋" w:hAnsi="仿宋" w:eastAsia="仿宋" w:cs="仿宋"/>
          <w:bCs/>
          <w:color w:val="auto"/>
          <w:sz w:val="32"/>
          <w:szCs w:val="32"/>
          <w:highlight w:val="none"/>
          <w:lang w:eastAsia="zh-CN"/>
        </w:rPr>
        <w:t>，运营期厂界噪声</w:t>
      </w:r>
      <w:r>
        <w:rPr>
          <w:rFonts w:hint="eastAsia" w:ascii="仿宋" w:hAnsi="仿宋" w:eastAsia="仿宋" w:cs="仿宋"/>
          <w:bCs/>
          <w:color w:val="auto"/>
          <w:sz w:val="32"/>
          <w:szCs w:val="32"/>
          <w:highlight w:val="none"/>
          <w:lang w:val="en-US" w:eastAsia="zh-CN"/>
        </w:rPr>
        <w:t>满足</w:t>
      </w:r>
      <w:r>
        <w:rPr>
          <w:rFonts w:hint="eastAsia" w:ascii="仿宋" w:hAnsi="仿宋" w:eastAsia="仿宋" w:cs="仿宋"/>
          <w:bCs/>
          <w:color w:val="auto"/>
          <w:sz w:val="32"/>
          <w:szCs w:val="32"/>
          <w:highlight w:val="none"/>
          <w:lang w:eastAsia="zh-CN"/>
        </w:rPr>
        <w:t>《工业企业厂界环境噪声排放标准》（GB123482008）中的2类标准，</w:t>
      </w:r>
      <w:r>
        <w:rPr>
          <w:rFonts w:hint="eastAsia" w:ascii="仿宋" w:hAnsi="仿宋" w:eastAsia="仿宋" w:cs="仿宋"/>
          <w:bCs/>
          <w:color w:val="auto"/>
          <w:sz w:val="32"/>
          <w:szCs w:val="32"/>
          <w:highlight w:val="none"/>
          <w:lang w:val="en-US" w:eastAsia="zh-CN"/>
        </w:rPr>
        <w:t>南侧</w:t>
      </w:r>
      <w:r>
        <w:rPr>
          <w:rFonts w:hint="eastAsia" w:ascii="仿宋" w:hAnsi="仿宋" w:eastAsia="仿宋" w:cs="仿宋"/>
          <w:bCs/>
          <w:color w:val="auto"/>
          <w:sz w:val="32"/>
          <w:szCs w:val="32"/>
          <w:highlight w:val="none"/>
          <w:lang w:eastAsia="zh-CN"/>
        </w:rPr>
        <w:t>敏感点噪声</w:t>
      </w:r>
      <w:r>
        <w:rPr>
          <w:rFonts w:hint="eastAsia" w:ascii="仿宋" w:hAnsi="仿宋" w:eastAsia="仿宋" w:cs="仿宋"/>
          <w:bCs/>
          <w:color w:val="auto"/>
          <w:sz w:val="32"/>
          <w:szCs w:val="32"/>
          <w:highlight w:val="none"/>
          <w:lang w:val="en-US" w:eastAsia="zh-CN"/>
        </w:rPr>
        <w:t>满足</w:t>
      </w:r>
      <w:r>
        <w:rPr>
          <w:rFonts w:hint="eastAsia" w:ascii="仿宋" w:hAnsi="仿宋" w:eastAsia="仿宋" w:cs="仿宋"/>
          <w:bCs/>
          <w:color w:val="auto"/>
          <w:sz w:val="32"/>
          <w:szCs w:val="32"/>
          <w:highlight w:val="none"/>
          <w:lang w:eastAsia="zh-CN"/>
        </w:rPr>
        <w:t>《声环境质量标准》（GB3096-2008）中的2类标准</w:t>
      </w:r>
      <w:r>
        <w:rPr>
          <w:rFonts w:hint="eastAsia" w:ascii="仿宋" w:hAnsi="仿宋" w:eastAsia="仿宋" w:cs="仿宋"/>
          <w:bCs/>
          <w:color w:val="auto"/>
          <w:sz w:val="32"/>
          <w:szCs w:val="32"/>
          <w:highlight w:val="none"/>
        </w:rPr>
        <w:t>。</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w:t>
      </w:r>
    </w:p>
    <w:p w14:paraId="17A316AD">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生活垃圾、过滤产生的杂质统一收集，定期交由环卫部门处置；废活性炭、污泥集中收集，由环卫部门进行处置；废弃包装统一收集，外售综合利用，废反渗透膜和废滤芯由供应厂家更换及回收。锅炉灰渣，布袋除尘器收集粉尘，集中收集，外售综合利用；废弃离子交换树脂不在厂区内存放，产生后集中收集，定期交由厂家回收处置。废布袋由厂家回收处置。</w:t>
      </w:r>
    </w:p>
    <w:p w14:paraId="2861E6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p>
    <w:p w14:paraId="6ED2FCC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14144819">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生态环境局对该项目的环境保护进行全程严格环境监督管理，确保该项目的环境保护措施全面落实。建成后，建设单位应当按照国务院环境保护行政主管部门规定的标准和程序，及时办理排污许可证</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办理</w:t>
      </w:r>
      <w:r>
        <w:rPr>
          <w:rFonts w:hint="eastAsia" w:ascii="仿宋" w:hAnsi="仿宋" w:eastAsia="仿宋" w:cs="Times New Roman"/>
          <w:color w:val="auto"/>
          <w:kern w:val="2"/>
          <w:sz w:val="32"/>
          <w:szCs w:val="32"/>
          <w:highlight w:val="none"/>
          <w:lang w:val="en-US" w:eastAsia="zh-CN" w:bidi="ar-SA"/>
        </w:rPr>
        <w:t>排污许可证后项目方可投入使用，</w:t>
      </w:r>
      <w:r>
        <w:rPr>
          <w:rFonts w:ascii="Times New Roman" w:hAnsi="Times New Roman" w:eastAsia="仿宋"/>
          <w:sz w:val="32"/>
          <w:szCs w:val="32"/>
        </w:rPr>
        <w:t>对配套建设的环境保护设施进行验收，编制验收报告并依法向社会公开验收报告，项目方可正式投入使用。</w:t>
      </w:r>
    </w:p>
    <w:p w14:paraId="1D516047">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4F54FAFD">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p w14:paraId="3919E2BE">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Times New Roman" w:hAnsi="Times New Roman" w:eastAsia="仿宋_GB2312"/>
          <w:sz w:val="32"/>
          <w:szCs w:val="32"/>
        </w:rPr>
      </w:pPr>
    </w:p>
    <w:p w14:paraId="13380E3C">
      <w:pPr>
        <w:pStyle w:val="5"/>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sz w:val="32"/>
          <w:szCs w:val="32"/>
        </w:rPr>
      </w:pPr>
    </w:p>
    <w:p w14:paraId="57D1CEAB">
      <w:pPr>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sz w:val="32"/>
          <w:szCs w:val="32"/>
        </w:rPr>
      </w:pPr>
    </w:p>
    <w:p w14:paraId="7A99A22E">
      <w:pPr>
        <w:pStyle w:val="5"/>
        <w:keepNext w:val="0"/>
        <w:keepLines w:val="0"/>
        <w:pageBreakBefore w:val="0"/>
        <w:widowControl w:val="0"/>
        <w:kinsoku/>
        <w:wordWrap/>
        <w:overflowPunct/>
        <w:topLinePunct w:val="0"/>
        <w:bidi w:val="0"/>
        <w:spacing w:line="560" w:lineRule="exact"/>
        <w:textAlignment w:val="auto"/>
        <w:rPr>
          <w:rFonts w:ascii="Times New Roman" w:hAnsi="Times New Roman"/>
        </w:rPr>
      </w:pPr>
    </w:p>
    <w:p w14:paraId="6C258256">
      <w:pPr>
        <w:keepNext w:val="0"/>
        <w:keepLines w:val="0"/>
        <w:pageBreakBefore w:val="0"/>
        <w:widowControl w:val="0"/>
        <w:kinsoku/>
        <w:wordWrap/>
        <w:overflowPunct/>
        <w:topLinePunct w:val="0"/>
        <w:bidi w:val="0"/>
        <w:spacing w:line="560" w:lineRule="exact"/>
        <w:ind w:firstLine="4800" w:firstLineChars="15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伊春市汤旺生态环境局</w:t>
      </w:r>
    </w:p>
    <w:p w14:paraId="49237664">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202</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lang w:eastAsia="zh-CN"/>
        </w:rPr>
        <w:t>年</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月</w:t>
      </w:r>
      <w:r>
        <w:rPr>
          <w:rFonts w:hint="eastAsia" w:ascii="Times New Roman" w:hAnsi="Times New Roman" w:eastAsia="仿宋_GB2312"/>
          <w:color w:val="0000FF"/>
          <w:sz w:val="32"/>
          <w:szCs w:val="32"/>
          <w:highlight w:val="none"/>
          <w:lang w:val="en-US" w:eastAsia="zh-CN"/>
        </w:rPr>
        <w:t>8</w:t>
      </w:r>
      <w:r>
        <w:rPr>
          <w:rFonts w:hint="eastAsia" w:ascii="Times New Roman" w:hAnsi="Times New Roman" w:eastAsia="仿宋_GB2312"/>
          <w:color w:val="auto"/>
          <w:sz w:val="32"/>
          <w:szCs w:val="32"/>
          <w:highlight w:val="none"/>
          <w:lang w:eastAsia="zh-CN"/>
        </w:rPr>
        <w:t>日</w:t>
      </w:r>
    </w:p>
    <w:p w14:paraId="5A0F0DF4">
      <w:pPr>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color w:val="auto"/>
          <w:sz w:val="32"/>
          <w:szCs w:val="32"/>
          <w:highlight w:val="none"/>
        </w:rPr>
      </w:pPr>
    </w:p>
    <w:p w14:paraId="3D222066">
      <w:pPr>
        <w:pStyle w:val="10"/>
        <w:rPr>
          <w:rFonts w:ascii="Times New Roman" w:hAnsi="Times New Roman" w:eastAsia="仿宋_GB2312"/>
          <w:color w:val="auto"/>
          <w:sz w:val="32"/>
          <w:szCs w:val="32"/>
          <w:highlight w:val="none"/>
        </w:rPr>
      </w:pPr>
    </w:p>
    <w:p w14:paraId="7DC5F733">
      <w:pPr>
        <w:rPr>
          <w:rFonts w:ascii="Times New Roman" w:hAnsi="Times New Roman" w:eastAsia="仿宋_GB2312"/>
          <w:color w:val="auto"/>
          <w:sz w:val="32"/>
          <w:szCs w:val="32"/>
          <w:highlight w:val="none"/>
        </w:rPr>
      </w:pPr>
    </w:p>
    <w:p w14:paraId="56D189EC">
      <w:pPr>
        <w:pStyle w:val="10"/>
        <w:rPr>
          <w:rFonts w:ascii="Times New Roman" w:hAnsi="Times New Roman" w:eastAsia="仿宋_GB2312"/>
          <w:color w:val="auto"/>
          <w:sz w:val="32"/>
          <w:szCs w:val="32"/>
          <w:highlight w:val="none"/>
        </w:rPr>
      </w:pPr>
    </w:p>
    <w:p w14:paraId="544AFE57">
      <w:pPr>
        <w:rPr>
          <w:rFonts w:ascii="Times New Roman" w:hAnsi="Times New Roman" w:eastAsia="仿宋_GB2312"/>
          <w:color w:val="auto"/>
          <w:sz w:val="32"/>
          <w:szCs w:val="32"/>
          <w:highlight w:val="none"/>
        </w:rPr>
      </w:pPr>
    </w:p>
    <w:p w14:paraId="25753DF2">
      <w:pPr>
        <w:pStyle w:val="10"/>
        <w:rPr>
          <w:rFonts w:ascii="Times New Roman" w:hAnsi="Times New Roman" w:eastAsia="仿宋_GB2312"/>
          <w:color w:val="auto"/>
          <w:sz w:val="32"/>
          <w:szCs w:val="32"/>
          <w:highlight w:val="none"/>
        </w:rPr>
      </w:pPr>
    </w:p>
    <w:p w14:paraId="057EFB52">
      <w:pPr>
        <w:rPr>
          <w:rFonts w:ascii="Times New Roman" w:hAnsi="Times New Roman" w:eastAsia="仿宋_GB2312"/>
          <w:color w:val="auto"/>
          <w:sz w:val="32"/>
          <w:szCs w:val="32"/>
          <w:highlight w:val="none"/>
        </w:rPr>
      </w:pPr>
    </w:p>
    <w:p w14:paraId="6F37BE02">
      <w:pPr>
        <w:pStyle w:val="10"/>
        <w:rPr>
          <w:rFonts w:ascii="Times New Roman" w:hAnsi="Times New Roman" w:eastAsia="仿宋_GB2312"/>
          <w:color w:val="auto"/>
          <w:sz w:val="32"/>
          <w:szCs w:val="32"/>
          <w:highlight w:val="none"/>
        </w:rPr>
      </w:pPr>
    </w:p>
    <w:p w14:paraId="13243D15"/>
    <w:p w14:paraId="01F07A37">
      <w:pPr>
        <w:spacing w:line="560" w:lineRule="exact"/>
        <w:ind w:firstLine="280" w:firstLineChars="100"/>
      </w:pPr>
      <w:r>
        <w:rPr>
          <w:rFonts w:ascii="Times New Roman" w:hAnsi="Times New Roman" w:eastAsia="华文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447040</wp:posOffset>
                </wp:positionV>
                <wp:extent cx="52882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82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pt;height:0pt;width:416.4pt;z-index:251660288;mso-width-relative:page;mso-height-relative:page;" filled="f" stroked="t" coordsize="21600,21600" o:gfxdata="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E9JP1QAAAAYBAAAPAAAAAAAAAAEAIAAAACIAAABkcnMvZG93bnJldi54bWxQSwECFAAU&#10;AAAACACHTuJAPFOsdfQBAADlAwAADgAAAAAAAAABACAAAAAkAQAAZHJzL2Uyb0RvYy54bWxQSwUG&#10;AAAAAAYABgBZAQAAigUAAAAA&#10;">
                <v:fill on="f" focussize="0,0"/>
                <v:stroke weight="1pt" color="#000000" joinstyle="round"/>
                <v:imagedata o:title=""/>
                <o:lock v:ext="edit" aspectratio="f"/>
              </v:line>
            </w:pict>
          </mc:Fallback>
        </mc:AlternateContent>
      </w:r>
      <w:r>
        <w:rPr>
          <w:rFonts w:ascii="Times New Roman" w:hAnsi="Times New Roman" w:eastAsia="华文仿宋"/>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28828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2882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pt;width:416.4pt;z-index:251659264;mso-width-relative:page;mso-height-relative:page;" filled="f" stroked="t" coordsize="21600,21600" o:gfxdata="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5VgNnSAAAABAEAAA8AAAAAAAAAAQAgAAAAIgAAAGRycy9kb3ducmV2LnhtbFBLAQIUABQAAAAI&#10;AIdO4kBzQPTz8wEAAOQDAAAOAAAAAAAAAAEAIAAAACEBAABkcnMvZTJvRG9jLnhtbFBLBQYAAAAA&#10;BgAGAFkBAACGBQAAAAA=&#10;">
                <v:fill on="f" focussize="0,0"/>
                <v:stroke color="#000000" joinstyle="round"/>
                <v:imagedata o:title=""/>
                <o:lock v:ext="edit" aspectratio="f"/>
              </v:line>
            </w:pict>
          </mc:Fallback>
        </mc:AlternateContent>
      </w:r>
      <w:r>
        <w:rPr>
          <w:rFonts w:hint="eastAsia" w:ascii="Times New Roman" w:hAnsi="Times New Roman" w:eastAsia="华文仿宋"/>
          <w:color w:val="auto"/>
          <w:sz w:val="28"/>
          <w:szCs w:val="28"/>
          <w:highlight w:val="none"/>
          <w:lang w:eastAsia="zh-CN"/>
        </w:rPr>
        <w:t>伊春市汤旺生态环境局</w:t>
      </w:r>
      <w:r>
        <w:rPr>
          <w:rFonts w:ascii="Times New Roman" w:hAnsi="Times New Roman" w:eastAsia="华文仿宋"/>
          <w:color w:val="auto"/>
          <w:sz w:val="28"/>
          <w:szCs w:val="28"/>
          <w:highlight w:val="none"/>
        </w:rPr>
        <w:t xml:space="preserve">　　　　　　　 </w:t>
      </w:r>
      <w:r>
        <w:rPr>
          <w:rFonts w:hint="eastAsia" w:ascii="Times New Roman" w:hAnsi="Times New Roman" w:eastAsia="华文仿宋"/>
          <w:color w:val="auto"/>
          <w:sz w:val="28"/>
          <w:szCs w:val="28"/>
          <w:highlight w:val="none"/>
          <w:lang w:eastAsia="zh-CN"/>
        </w:rPr>
        <w:t>202</w:t>
      </w:r>
      <w:r>
        <w:rPr>
          <w:rFonts w:hint="eastAsia" w:ascii="Times New Roman" w:hAnsi="Times New Roman" w:eastAsia="华文仿宋"/>
          <w:color w:val="auto"/>
          <w:sz w:val="28"/>
          <w:szCs w:val="28"/>
          <w:highlight w:val="none"/>
          <w:lang w:val="en-US" w:eastAsia="zh-CN"/>
        </w:rPr>
        <w:t>5</w:t>
      </w:r>
      <w:r>
        <w:rPr>
          <w:rFonts w:hint="eastAsia" w:ascii="Times New Roman" w:hAnsi="Times New Roman" w:eastAsia="华文仿宋"/>
          <w:color w:val="auto"/>
          <w:sz w:val="28"/>
          <w:szCs w:val="28"/>
          <w:highlight w:val="none"/>
          <w:lang w:eastAsia="zh-CN"/>
        </w:rPr>
        <w:t>年</w:t>
      </w:r>
      <w:r>
        <w:rPr>
          <w:rFonts w:hint="eastAsia" w:ascii="Times New Roman" w:hAnsi="Times New Roman" w:eastAsia="华文仿宋"/>
          <w:color w:val="auto"/>
          <w:sz w:val="28"/>
          <w:szCs w:val="28"/>
          <w:highlight w:val="none"/>
          <w:lang w:val="en-US" w:eastAsia="zh-CN"/>
        </w:rPr>
        <w:t>2</w:t>
      </w:r>
      <w:r>
        <w:rPr>
          <w:rFonts w:hint="eastAsia" w:ascii="Times New Roman" w:hAnsi="Times New Roman" w:eastAsia="华文仿宋"/>
          <w:color w:val="auto"/>
          <w:sz w:val="28"/>
          <w:szCs w:val="28"/>
          <w:highlight w:val="none"/>
          <w:lang w:eastAsia="zh-CN"/>
        </w:rPr>
        <w:t>月</w:t>
      </w:r>
      <w:r>
        <w:rPr>
          <w:rFonts w:hint="eastAsia" w:ascii="Times New Roman" w:hAnsi="Times New Roman" w:eastAsia="华文仿宋"/>
          <w:color w:val="0000FF"/>
          <w:sz w:val="28"/>
          <w:szCs w:val="28"/>
          <w:highlight w:val="none"/>
          <w:lang w:val="en-US" w:eastAsia="zh-CN"/>
        </w:rPr>
        <w:t>8</w:t>
      </w:r>
      <w:bookmarkStart w:id="1" w:name="_GoBack"/>
      <w:bookmarkEnd w:id="1"/>
      <w:r>
        <w:rPr>
          <w:rFonts w:hint="eastAsia" w:ascii="Times New Roman" w:hAnsi="Times New Roman" w:eastAsia="华文仿宋"/>
          <w:color w:val="auto"/>
          <w:sz w:val="28"/>
          <w:szCs w:val="28"/>
          <w:highlight w:val="none"/>
          <w:lang w:eastAsia="zh-CN"/>
        </w:rPr>
        <w:t>日</w:t>
      </w:r>
      <w:r>
        <w:rPr>
          <w:rFonts w:ascii="Times New Roman" w:hAnsi="Times New Roman" w:eastAsia="华文仿宋"/>
          <w:color w:val="auto"/>
          <w:sz w:val="28"/>
          <w:szCs w:val="28"/>
          <w:highlight w:val="none"/>
        </w:rPr>
        <w:t>印发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1191065F"/>
    <w:rsid w:val="2B251EBB"/>
    <w:rsid w:val="2D004A0F"/>
    <w:rsid w:val="2E4A2BFD"/>
    <w:rsid w:val="364843C1"/>
    <w:rsid w:val="3A0D1B3E"/>
    <w:rsid w:val="41E16ADE"/>
    <w:rsid w:val="4536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paragraph" w:styleId="6">
    <w:name w:val="Body Text First Indent"/>
    <w:basedOn w:val="2"/>
    <w:next w:val="1"/>
    <w:qFormat/>
    <w:uiPriority w:val="0"/>
    <w:pPr>
      <w:spacing w:after="120"/>
      <w:ind w:firstLine="420" w:firstLineChars="100"/>
    </w:pPr>
    <w:rPr>
      <w:sz w:val="21"/>
    </w:rPr>
  </w:style>
  <w:style w:type="character" w:styleId="9">
    <w:name w:val="page number"/>
    <w:qFormat/>
    <w:uiPriority w:val="0"/>
  </w:style>
  <w:style w:type="paragraph" w:customStyle="1" w:styleId="10">
    <w:name w:val="Default"/>
    <w:basedOn w:val="11"/>
    <w:next w:val="1"/>
    <w:autoRedefine/>
    <w:unhideWhenUsed/>
    <w:qFormat/>
    <w:uiPriority w:val="0"/>
    <w:pPr>
      <w:widowControl w:val="0"/>
      <w:autoSpaceDE w:val="0"/>
      <w:autoSpaceDN w:val="0"/>
    </w:pPr>
    <w:rPr>
      <w:rFonts w:hint="eastAsia" w:hAnsi="宋体"/>
      <w:color w:val="000000"/>
    </w:rPr>
  </w:style>
  <w:style w:type="paragraph" w:customStyle="1" w:styleId="11">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1540</Words>
  <Characters>1641</Characters>
  <Lines>0</Lines>
  <Paragraphs>0</Paragraphs>
  <TotalTime>0</TotalTime>
  <ScaleCrop>false</ScaleCrop>
  <LinksUpToDate>false</LinksUpToDate>
  <CharactersWithSpaces>1674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2024-08-23T06:08:00Z</cp:lastPrinted>
  <dcterms:modified xsi:type="dcterms:W3CDTF">2025-02-08T07:12:38Z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85568E3263374E29918196832BC055A2_13</vt:lpwstr>
  </property>
  <property fmtid="{D5CDD505-2E9C-101B-9397-08002B2CF9AE}" pid="4" name="KSOTemplateDocerSaveRecord">
    <vt:lpwstr>eyJoZGlkIjoiMmUwZTBiMzg0ZWI5ZGQ2ZjllMGVlOTI3MDA5NzdjOWYiLCJ1c2VySWQiOiIyNjI0MjkwNzUifQ==</vt:lpwstr>
  </property>
</Properties>
</file>