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7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14:paraId="260A0C87">
      <w:pPr>
        <w:jc w:val="center"/>
        <w:rPr>
          <w:rFonts w:hint="eastAsia"/>
          <w:sz w:val="44"/>
          <w:szCs w:val="44"/>
        </w:rPr>
      </w:pPr>
    </w:p>
    <w:p w14:paraId="51A962CE">
      <w:pPr>
        <w:jc w:val="center"/>
        <w:rPr>
          <w:rFonts w:hint="eastAsia"/>
          <w:sz w:val="44"/>
          <w:szCs w:val="44"/>
        </w:rPr>
      </w:pPr>
    </w:p>
    <w:p w14:paraId="595A2D27">
      <w:pPr>
        <w:jc w:val="center"/>
        <w:rPr>
          <w:rFonts w:hint="eastAsia"/>
          <w:sz w:val="44"/>
          <w:szCs w:val="44"/>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伊汤环审〔2025〕6号</w:t>
      </w:r>
    </w:p>
    <w:p w14:paraId="33FDCFF4">
      <w:pPr>
        <w:jc w:val="center"/>
        <w:rPr>
          <w:rFonts w:hint="eastAsia" w:ascii="新宋体" w:hAnsi="新宋体" w:eastAsia="新宋体" w:cs="新宋体"/>
          <w:b/>
          <w:bCs/>
          <w:sz w:val="44"/>
          <w:szCs w:val="44"/>
          <w:lang w:val="en-US" w:eastAsia="zh-CN"/>
        </w:rPr>
      </w:pPr>
    </w:p>
    <w:p w14:paraId="1B8C95CE">
      <w:pPr>
        <w:adjustRightInd w:val="0"/>
        <w:snapToGrid w:val="0"/>
        <w:spacing w:line="288" w:lineRule="auto"/>
        <w:jc w:val="center"/>
        <w:rPr>
          <w:rFonts w:ascii="Times New Roman" w:hAnsi="Times New Roman" w:eastAsia="方正小标宋简体" w:cs="Times New Roman"/>
          <w:sz w:val="44"/>
          <w:szCs w:val="44"/>
        </w:rPr>
      </w:pPr>
      <w:r>
        <w:rPr>
          <w:rFonts w:ascii="Times New Roman" w:hAnsi="Times New Roman" w:eastAsia="方正小标宋简体"/>
          <w:sz w:val="44"/>
          <w:szCs w:val="44"/>
        </w:rPr>
        <w:t>关于</w:t>
      </w:r>
      <w:r>
        <w:rPr>
          <w:rFonts w:ascii="Times New Roman" w:hAnsi="Times New Roman" w:eastAsia="方正小标宋简体" w:cs="Times New Roman"/>
          <w:sz w:val="44"/>
          <w:szCs w:val="44"/>
        </w:rPr>
        <w:t>汤旺县白桦</w:t>
      </w:r>
      <w:r>
        <w:rPr>
          <w:rFonts w:hint="eastAsia" w:ascii="Times New Roman" w:hAnsi="Times New Roman" w:eastAsia="方正小标宋简体" w:cs="Times New Roman"/>
          <w:sz w:val="44"/>
          <w:szCs w:val="44"/>
          <w:lang w:val="en-US" w:eastAsia="zh-CN"/>
        </w:rPr>
        <w:t>一</w:t>
      </w:r>
      <w:r>
        <w:rPr>
          <w:rFonts w:ascii="Times New Roman" w:hAnsi="Times New Roman" w:eastAsia="方正小标宋简体" w:cs="Times New Roman"/>
          <w:sz w:val="44"/>
          <w:szCs w:val="44"/>
        </w:rPr>
        <w:t>号采石场项目环境</w:t>
      </w:r>
    </w:p>
    <w:p w14:paraId="647DCA69">
      <w:pPr>
        <w:adjustRightInd w:val="0"/>
        <w:snapToGrid w:val="0"/>
        <w:spacing w:line="288" w:lineRule="auto"/>
        <w:jc w:val="center"/>
        <w:rPr>
          <w:rFonts w:ascii="Times New Roman" w:hAnsi="Times New Roman" w:eastAsia="方正小标宋简体"/>
          <w:sz w:val="44"/>
          <w:szCs w:val="44"/>
        </w:rPr>
      </w:pPr>
      <w:r>
        <w:rPr>
          <w:rFonts w:ascii="Times New Roman" w:hAnsi="Times New Roman" w:eastAsia="方正小标宋简体" w:cs="Times New Roman"/>
          <w:sz w:val="44"/>
          <w:szCs w:val="44"/>
        </w:rPr>
        <w:t>影响评价报告表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伊春北建矿业有限公司</w:t>
      </w:r>
      <w:r>
        <w:rPr>
          <w:rFonts w:ascii="Times New Roman" w:hAnsi="Times New Roman" w:eastAsia="仿宋"/>
          <w:sz w:val="32"/>
          <w:szCs w:val="32"/>
        </w:rPr>
        <w:t>：</w:t>
      </w:r>
      <w:bookmarkStart w:id="0" w:name="_GoBack"/>
      <w:bookmarkEnd w:id="0"/>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你单位报送的《汤旺县白桦</w:t>
      </w:r>
      <w:r>
        <w:rPr>
          <w:rFonts w:hint="eastAsia" w:ascii="Times New Roman" w:hAnsi="Times New Roman" w:eastAsia="仿宋"/>
          <w:sz w:val="32"/>
          <w:szCs w:val="32"/>
          <w:lang w:val="en-US" w:eastAsia="zh-CN"/>
        </w:rPr>
        <w:t>一</w:t>
      </w:r>
      <w:r>
        <w:rPr>
          <w:rFonts w:ascii="Times New Roman" w:hAnsi="Times New Roman" w:eastAsia="仿宋"/>
          <w:sz w:val="32"/>
          <w:szCs w:val="32"/>
        </w:rPr>
        <w:t>号采石场项目环境影响评价报告表》（以下简称《报告表》）收悉。经研究，批复如下：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76A5F3FF">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本项目为开采建筑用花岗岩，用地类型为采矿用地、乔木林地，矿区总占地面积为49780㎡，在开采区设置碎石加工车间、办公室、临时堆场和石料堆放场等。本项目年生产能力为6.5万m³/a，矿山服务年限为5年，同时设置破碎筛分生产线一条。本项目矿区面积共49780㎡（其中采区40367㎡，碎石加工区2500㎡，临时堆场占地面积780㎡，石料堆放场6000㎡，休息区133㎡），年开采花岗岩石料6.5万m³，可采标高418-365米，项目开采石料为花岗岩，矿产资源地质储量为34.5766万m³，开采出的矿石及建筑用砂全部进行破碎筛分，最终产品储存在石料堆放场。</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（一）施工期间管理</w:t>
      </w:r>
    </w:p>
    <w:p w14:paraId="12F64B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1、水环境保护措施</w:t>
      </w:r>
    </w:p>
    <w:p w14:paraId="6D96859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施工人员生活污水主要污染物为SS、COD及氨氮，生活污水排入防渗旱厕，定期清掏，外运堆肥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施工废污水需集中收集，经临时沉砂池沉淀后，清水回用于洒水降尘。</w:t>
      </w:r>
    </w:p>
    <w:p w14:paraId="1397FB5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2、环境空气保护措施</w:t>
      </w:r>
    </w:p>
    <w:p w14:paraId="3A833509">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施工现场周围设置围挡，每天应定期洒水防止扬尘产生，在大风天气加大洒水量及洒水次数，多尘物料堆应用帆布覆盖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施工单位必须使用污染物排放符合国家标准的运输车辆，加强车辆的保养，使车辆处于良好的工作状态，严禁使用报废车辆，以减少施工车辆尾气对周围环境的影响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在路过汤旺县居民住宅时，减速慢行，车辆外运表土时需要对车厢进行苫盖防止洒落，以减少施工车辆对周围环境的影响。</w:t>
      </w:r>
    </w:p>
    <w:p w14:paraId="7E2AA62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3、噪声环境保护措施</w:t>
      </w:r>
    </w:p>
    <w:p w14:paraId="71AFE20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输车辆采用封闭遮盖，同时要求矿方加强管理，杜绝超载现象，禁止使用超过噪声限值的运输车辆，汽车运输机械设备应安装消声器和禁用高音喇叭，在路过汤旺县居民住宅时，禁止鸣笛。机动车辆必须加强维修和保养，保持技术性能良好，合理安排运输车辆工作时间，22:00-次日6:00禁止运输工作。</w:t>
      </w:r>
    </w:p>
    <w:p w14:paraId="20A445B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4、施工期固体废物处置措施</w:t>
      </w:r>
    </w:p>
    <w:p w14:paraId="32B50B78">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施工期产生的固体废物，主要来源于生活垃圾和施工期产生的废土石粉。</w:t>
      </w:r>
      <w:r>
        <w:rPr>
          <w:rFonts w:hint="eastAsia" w:ascii="仿宋_GB2312" w:hAnsi="仿宋_GB2312" w:eastAsia="仿宋_GB2312" w:cs="仿宋_GB2312"/>
          <w:color w:val="auto"/>
          <w:sz w:val="32"/>
          <w:szCs w:val="32"/>
          <w:highlight w:val="none"/>
        </w:rPr>
        <w:t>本项目施工期产生的废土石粉可用于矿区道路的铺垫，不得随意堆放。建设期施工人员生活垃圾堆放于临时生活垃圾箱内，定期清运。</w:t>
      </w:r>
    </w:p>
    <w:p w14:paraId="091C1BC6">
      <w:pPr>
        <w:pStyle w:val="16"/>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sz w:val="32"/>
          <w:szCs w:val="32"/>
          <w:highlight w:val="none"/>
          <w:lang w:val="en-US" w:eastAsia="zh-CN"/>
        </w:rPr>
        <w:t>生态环境保护措施</w:t>
      </w:r>
    </w:p>
    <w:p w14:paraId="6CDB55BF">
      <w:pPr>
        <w:pStyle w:val="16"/>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施工期建设活动应尽量少占用土地，工业区合理布置车间布局，开采区严格按照开采范围进行开采，不得超范围开采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边施工、边修复”，挖土尽快回填，对可用于绿化的临时堆放土体，修筑成临时梯形断面的堆土，采取临时防护和排水措施，以纤维布覆盖并在堆土两侧，修筑截流沟，以防降雨侵蚀或风蚀的发生，永久占地内的植物进行异地补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动土作业应尽量避免大风天和雨天，以免造成大量水土流失，施工前应在施工场地内布设临时简易截排水沟，以便于施工期能及时导出地面径流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对各项动土工程，在分项工程结束后，及时进入下一道工序或建立防护措施，减少土壤侵蚀源的暴露时间，有效控制水土流失，施工结束后，应立即种植植被实施绿化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施工人员做好生态保护教育，禁止对野生动物的捕杀，对野生植被的不必要的破坏，减少使用灯光，防止对动物的生境造成破坏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为防止施工期间施工车辆随意碾压，破坏原地表植被，增加水土流失，在施工过程中严格规定行车道路，避免破坏施工便道沿线的植被和生态。</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1、大气环境保护措施</w:t>
      </w:r>
    </w:p>
    <w:p w14:paraId="5BE950B9">
      <w:pPr>
        <w:keepNext w:val="0"/>
        <w:keepLines w:val="0"/>
        <w:pageBreakBefore w:val="0"/>
        <w:kinsoku/>
        <w:wordWrap/>
        <w:overflowPunct/>
        <w:topLinePunct w:val="0"/>
        <w:autoSpaceDE/>
        <w:autoSpaceDN/>
        <w:bidi w:val="0"/>
        <w:snapToGrid w:val="0"/>
        <w:spacing w:line="560" w:lineRule="exact"/>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土岩剥离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凿岩穿孔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集堆、铲装粉尘</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洒水抑尘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爆破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深孔爆破技术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水封爆破抑尘措施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洒水抑尘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露天采场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临时堆场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石料堆放场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防止工作面灰尘飞扬，矿岩集堆、铲装前均需进行喷雾、洒水的方式降尘，利用洒水设备不定时地间断洒水，根据气候情况确定洒水次数。在晴天或有风天气每天洒水1次；晴天小风或无风天气洒水2次。通过采用喷淋洒水装置喷雾洒水，使场地保持湿润。对临时堆场和</w:t>
      </w:r>
      <w:r>
        <w:rPr>
          <w:rFonts w:hint="eastAsia" w:ascii="仿宋_GB2312" w:hAnsi="仿宋_GB2312" w:eastAsia="仿宋_GB2312" w:cs="仿宋_GB2312"/>
          <w:bCs/>
          <w:color w:val="auto"/>
          <w:sz w:val="32"/>
          <w:szCs w:val="32"/>
          <w:highlight w:val="none"/>
        </w:rPr>
        <w:t>石料堆放场</w:t>
      </w:r>
      <w:r>
        <w:rPr>
          <w:rFonts w:hint="eastAsia" w:ascii="仿宋_GB2312" w:hAnsi="仿宋_GB2312" w:eastAsia="仿宋_GB2312" w:cs="仿宋_GB2312"/>
          <w:color w:val="auto"/>
          <w:sz w:val="32"/>
          <w:szCs w:val="32"/>
          <w:highlight w:val="none"/>
        </w:rPr>
        <w:t>采取密目网苫盖措施和洒水降尘，临时堆场表面播撒草籽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破碎机封闭，配套建设收集效率为90%的集气罩，</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台除尘效率为99%的布袋除尘器，处理后的废气经管道汇总至一根排气筒（DA001）排放。传送带封闭处理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振动筛封闭，配套建设收集效率为90%的集气罩，1台除尘效率为99%的布袋除尘器，处理后的废气经管道汇总至一根排气筒（DA00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）排放。传送带封闭处理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石粉仓设置脉冲式布袋除尘器，粉料外售运输之前，采取水喷淋加湿措施</w:t>
      </w:r>
      <w:r>
        <w:rPr>
          <w:rFonts w:hint="eastAsia" w:ascii="仿宋_GB2312" w:hAnsi="仿宋_GB2312" w:eastAsia="仿宋_GB2312" w:cs="仿宋_GB2312"/>
          <w:color w:val="auto"/>
          <w:sz w:val="32"/>
          <w:szCs w:val="32"/>
          <w:highlight w:val="none"/>
          <w:lang w:eastAsia="zh-CN"/>
        </w:rPr>
        <w:t>；</w:t>
      </w:r>
      <w:r>
        <w:rPr>
          <w:rStyle w:val="19"/>
          <w:rFonts w:hint="eastAsia" w:ascii="仿宋_GB2312" w:hAnsi="仿宋_GB2312" w:eastAsia="仿宋_GB2312" w:cs="仿宋_GB2312"/>
          <w:color w:val="auto"/>
          <w:sz w:val="32"/>
          <w:szCs w:val="32"/>
          <w:highlight w:val="none"/>
        </w:rPr>
        <w:t>针对运输产生的粉尘，运输车辆采用封闭遮盖，同时要求矿方加强管理，杜绝超载现象，机动车辆必须加强维修和保养</w:t>
      </w:r>
      <w:r>
        <w:rPr>
          <w:rStyle w:val="19"/>
          <w:rFonts w:hint="eastAsia" w:ascii="仿宋_GB2312" w:hAnsi="仿宋_GB2312" w:eastAsia="仿宋_GB2312" w:cs="仿宋_GB2312"/>
          <w:color w:val="auto"/>
          <w:sz w:val="32"/>
          <w:szCs w:val="32"/>
          <w:highlight w:val="none"/>
          <w:lang w:eastAsia="zh-CN"/>
        </w:rPr>
        <w:t>。</w:t>
      </w:r>
    </w:p>
    <w:p w14:paraId="5D7D3A0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水环境保护措施</w:t>
      </w:r>
    </w:p>
    <w:p w14:paraId="0F7CB42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生产用水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rPr>
        <w:t>采石场的表土剥离、铲装等工序需洒水抑尘。</w:t>
      </w:r>
      <w:r>
        <w:rPr>
          <w:rFonts w:hint="eastAsia" w:ascii="仿宋_GB2312" w:hAnsi="仿宋_GB2312" w:eastAsia="仿宋_GB2312" w:cs="仿宋_GB2312"/>
          <w:color w:val="auto"/>
          <w:sz w:val="32"/>
          <w:szCs w:val="32"/>
          <w:highlight w:val="none"/>
        </w:rPr>
        <w:t>主要污染物为SS，全部蒸发，不外排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汇集雨水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在临时堆场、石料堆放场北侧设置截流沟，以拦截和疏导地表径流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雨水收集池建设于采区地势最低处，开采境界底部，用于矿山采场的洒水降尘，洒水抑尘用水全部蒸发，不外排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生活污水排入周边防渗旱厕，定期清掏。</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3、声环境保护措施</w:t>
      </w:r>
    </w:p>
    <w:p w14:paraId="5071325D">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针对设备噪声，采用基础减振，设置防振橡胶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合理安排作业时间，合理布局施工现场，应尽可能避免大量高噪声设备同时作业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采用微差深孔爆破方式，采取合理安排爆破时间，控制爆破频次，夜间禁止爆破，爆破提前告知附近村屯，做好防护工作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运输路线沿途经过汤旺县居民住宅时，减速慢行，运输车辆采用封闭遮盖，同时要求矿方加强管理，杜绝超载现象，禁止使用超过噪声限值的运输车辆，汽车运输机械设备应安装消声器和禁用高音喇叭，在路过汤旺县居民住宅时，禁止鸣笛。机动车辆必须加强维修和保养，保持技术性能良好，合理安排运输车辆工作时间。</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4、固体废物处置措施</w:t>
      </w:r>
    </w:p>
    <w:p w14:paraId="119EEB21">
      <w:pPr>
        <w:pStyle w:val="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剥离表土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暂存于临时堆场，用于后期绿化覆土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炸药包装物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由爆破公司进行回收处置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由市政环卫部门统一清运处理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废布袋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集中收集后由厂家回收处置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剥离废石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用于铺设附近道路，多余的废石即产即售，不在厂区内贮存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布袋除尘器收集的粉尘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统一收集，装袋，放置于全封闭石粉仓内，定期作为副产品出售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废机油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安置在危险废物贮存点，由有资质单位</w:t>
      </w:r>
      <w:r>
        <w:rPr>
          <w:rFonts w:hint="eastAsia" w:ascii="仿宋_GB2312" w:hAnsi="仿宋_GB2312" w:eastAsia="仿宋_GB2312" w:cs="仿宋_GB2312"/>
          <w:color w:val="auto"/>
          <w:sz w:val="32"/>
          <w:szCs w:val="32"/>
          <w:highlight w:val="none"/>
          <w:lang w:val="en-US" w:eastAsia="zh-CN"/>
        </w:rPr>
        <w:t>进行转运处理；</w:t>
      </w:r>
      <w:r>
        <w:rPr>
          <w:rFonts w:hint="eastAsia" w:ascii="仿宋_GB2312" w:hAnsi="仿宋_GB2312" w:eastAsia="仿宋_GB2312" w:cs="仿宋_GB2312"/>
          <w:color w:val="auto"/>
          <w:sz w:val="32"/>
          <w:szCs w:val="32"/>
          <w:highlight w:val="none"/>
        </w:rPr>
        <w:t>危险废物贮存点设专用桶收集，分区存放，设置明显的危险废物标志，且应符合环境保护图形标志中的规定。</w:t>
      </w:r>
    </w:p>
    <w:p w14:paraId="51854B4F">
      <w:pPr>
        <w:pStyle w:val="8"/>
        <w:keepNext w:val="0"/>
        <w:keepLines w:val="0"/>
        <w:pageBreakBefore w:val="0"/>
        <w:widowControl w:val="0"/>
        <w:numPr>
          <w:ilvl w:val="0"/>
          <w:numId w:val="0"/>
        </w:numPr>
        <w:kinsoku/>
        <w:wordWrap/>
        <w:overflowPunct/>
        <w:topLinePunct w:val="0"/>
        <w:autoSpaceDE/>
        <w:autoSpaceDN/>
        <w:bidi w:val="0"/>
        <w:spacing w:line="560" w:lineRule="exact"/>
        <w:ind w:left="420" w:leftChars="20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b/>
          <w:color w:val="auto"/>
          <w:sz w:val="32"/>
          <w:szCs w:val="32"/>
          <w:highlight w:val="none"/>
        </w:rPr>
        <w:t>生态环境保护措施</w:t>
      </w:r>
    </w:p>
    <w:p w14:paraId="16B3EAF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生态恢复进度安排及阶段实施</w:t>
      </w:r>
      <w:r>
        <w:rPr>
          <w:rFonts w:hint="eastAsia" w:ascii="仿宋_GB2312" w:hAnsi="仿宋_GB2312" w:eastAsia="仿宋_GB2312" w:cs="仿宋_GB2312"/>
          <w:color w:val="auto"/>
          <w:sz w:val="32"/>
          <w:szCs w:val="32"/>
          <w:highlight w:val="none"/>
          <w:lang w:eastAsia="zh-CN"/>
        </w:rPr>
        <w:t>。</w:t>
      </w:r>
    </w:p>
    <w:p w14:paraId="02A10602">
      <w:pPr>
        <w:keepNext w:val="0"/>
        <w:keepLines w:val="0"/>
        <w:pageBreakBefore w:val="0"/>
        <w:kinsoku/>
        <w:wordWrap/>
        <w:overflowPunct/>
        <w:topLinePunct w:val="0"/>
        <w:autoSpaceDE/>
        <w:autoSpaceDN/>
        <w:bidi w:val="0"/>
        <w:adjustRightInd w:val="0"/>
        <w:snapToGrid w:val="0"/>
        <w:spacing w:line="56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生产期：2025年10月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2030年9月，重点要解决矿山地质环境现存问题。针对采矿活动影响区，在矿山开发过程中做好矿山地质环境保护；加强日常监测，设立警示牌，消除灾害隐患，恢复生态环境。</w:t>
      </w:r>
    </w:p>
    <w:p w14:paraId="7998E4CF">
      <w:pPr>
        <w:keepNext w:val="0"/>
        <w:keepLines w:val="0"/>
        <w:pageBreakBefore w:val="0"/>
        <w:kinsoku/>
        <w:wordWrap/>
        <w:overflowPunct/>
        <w:topLinePunct w:val="0"/>
        <w:autoSpaceDE/>
        <w:autoSpaceDN/>
        <w:bidi w:val="0"/>
        <w:adjustRightInd w:val="0"/>
        <w:snapToGrid w:val="0"/>
        <w:spacing w:line="56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闭矿期：2030年9月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2034年8月，做好闭矿矿山环境恢复治理，矿山闭矿后，拆除建筑物，清除危岩体，对场地进行平整，并在平整后的场地内进行土地资源和植被恢复。使整个矿区生态环境得到明显改善。</w:t>
      </w:r>
    </w:p>
    <w:p w14:paraId="3A4554AE">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本项目对矿山地质环境进行治理与复垦，近期主要进行地质灾害隐患监测、边坡监测、矿山地质环境监测及设置警示牌，主要在开采结束后实施全面复垦措施，包括地质灾害隐患监测、边坡监测、矿山地质环境监测、设置警示牌、表土回覆、土地翻耕、平整、植被恢复。最后阶段是实施植被管护和复垦监测，确保治理与复垦的质量。</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ED2FCC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正式投产前要及时办理排污许可证。</w:t>
      </w:r>
    </w:p>
    <w:p w14:paraId="1D51604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01F07A37">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0ABC05D2"/>
    <w:rsid w:val="10B76766"/>
    <w:rsid w:val="1191065F"/>
    <w:rsid w:val="2B251EBB"/>
    <w:rsid w:val="2E4A2BFD"/>
    <w:rsid w:val="364843C1"/>
    <w:rsid w:val="4536433C"/>
    <w:rsid w:val="466A4691"/>
    <w:rsid w:val="6FBB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rPr>
  </w:style>
  <w:style w:type="paragraph" w:customStyle="1" w:styleId="3">
    <w:name w:val="Normal (Web)1"/>
    <w:basedOn w:val="1"/>
    <w:next w:val="4"/>
    <w:qFormat/>
    <w:uiPriority w:val="0"/>
    <w:pPr>
      <w:widowControl/>
      <w:jc w:val="left"/>
    </w:pPr>
    <w:rPr>
      <w:rFonts w:ascii="宋体" w:cs="Times New Roman"/>
      <w:kern w:val="0"/>
      <w:sz w:val="24"/>
      <w:szCs w:val="21"/>
    </w:rPr>
  </w:style>
  <w:style w:type="paragraph" w:customStyle="1" w:styleId="4">
    <w:name w:val="Date1"/>
    <w:basedOn w:val="1"/>
    <w:next w:val="1"/>
    <w:qFormat/>
    <w:uiPriority w:val="0"/>
    <w:pPr>
      <w:ind w:left="2500" w:leftChars="2500"/>
    </w:pPr>
  </w:style>
  <w:style w:type="paragraph" w:styleId="5">
    <w:name w:val="Plain Text"/>
    <w:basedOn w:val="1"/>
    <w:qFormat/>
    <w:uiPriority w:val="99"/>
    <w:rPr>
      <w:rFonts w:ascii="宋体" w:hAnsi="Cambria"/>
      <w:kern w:val="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Body Text First Indent"/>
    <w:basedOn w:val="2"/>
    <w:next w:val="1"/>
    <w:qFormat/>
    <w:uiPriority w:val="0"/>
    <w:pPr>
      <w:spacing w:after="120"/>
      <w:ind w:firstLine="420" w:firstLineChars="100"/>
    </w:pPr>
    <w:rPr>
      <w:sz w:val="21"/>
    </w:rPr>
  </w:style>
  <w:style w:type="character" w:styleId="12">
    <w:name w:val="page number"/>
    <w:qFormat/>
    <w:uiPriority w:val="0"/>
  </w:style>
  <w:style w:type="paragraph" w:customStyle="1" w:styleId="13">
    <w:name w:val="Default"/>
    <w:basedOn w:val="14"/>
    <w:next w:val="1"/>
    <w:autoRedefine/>
    <w:unhideWhenUsed/>
    <w:qFormat/>
    <w:uiPriority w:val="0"/>
    <w:pPr>
      <w:widowControl w:val="0"/>
      <w:autoSpaceDE w:val="0"/>
      <w:autoSpaceDN w:val="0"/>
    </w:pPr>
    <w:rPr>
      <w:rFonts w:hint="eastAsia" w:hAnsi="宋体"/>
      <w:color w:val="000000"/>
    </w:rPr>
  </w:style>
  <w:style w:type="paragraph" w:customStyle="1" w:styleId="14">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customStyle="1" w:styleId="16">
    <w:name w:val="正文00"/>
    <w:basedOn w:val="1"/>
    <w:next w:val="17"/>
    <w:qFormat/>
    <w:uiPriority w:val="0"/>
    <w:pPr>
      <w:widowControl/>
      <w:spacing w:line="360" w:lineRule="auto"/>
      <w:ind w:firstLine="480" w:firstLineChars="200"/>
      <w:jc w:val="left"/>
    </w:pPr>
    <w:rPr>
      <w:kern w:val="0"/>
      <w:sz w:val="24"/>
      <w:szCs w:val="20"/>
    </w:rPr>
  </w:style>
  <w:style w:type="paragraph" w:customStyle="1" w:styleId="17">
    <w:name w:val="样式 Times New Roman 五号 居中1"/>
    <w:basedOn w:val="1"/>
    <w:next w:val="18"/>
    <w:qFormat/>
    <w:uiPriority w:val="0"/>
    <w:pPr>
      <w:jc w:val="center"/>
    </w:pPr>
    <w:rPr>
      <w:rFonts w:eastAsia="宋体" w:cs="宋体"/>
      <w:szCs w:val="20"/>
    </w:rPr>
  </w:style>
  <w:style w:type="paragraph" w:customStyle="1" w:styleId="18">
    <w:name w:val="表头"/>
    <w:basedOn w:val="8"/>
    <w:next w:val="5"/>
    <w:qFormat/>
    <w:uiPriority w:val="0"/>
    <w:rPr>
      <w:rFonts w:eastAsia="黑体"/>
    </w:rPr>
  </w:style>
  <w:style w:type="character" w:customStyle="1" w:styleId="19">
    <w:name w:val="表正文 Char1 Char Char"/>
    <w:link w:val="20"/>
    <w:qFormat/>
    <w:uiPriority w:val="0"/>
    <w:rPr>
      <w:kern w:val="0"/>
      <w:sz w:val="28"/>
      <w:szCs w:val="20"/>
    </w:rPr>
  </w:style>
  <w:style w:type="paragraph" w:customStyle="1" w:styleId="20">
    <w:name w:val="正文（首行缩进两字） Char"/>
    <w:basedOn w:val="1"/>
    <w:link w:val="19"/>
    <w:qFormat/>
    <w:uiPriority w:val="0"/>
    <w:pPr>
      <w:widowControl/>
      <w:spacing w:line="360" w:lineRule="auto"/>
      <w:ind w:firstLine="420"/>
    </w:pPr>
    <w:rPr>
      <w:kern w:val="0"/>
      <w:sz w:val="28"/>
      <w:szCs w:val="20"/>
    </w:rPr>
  </w:style>
  <w:style w:type="paragraph" w:customStyle="1" w:styleId="21">
    <w:name w:val=".标题1.1.1"/>
    <w:basedOn w:val="1"/>
    <w:qFormat/>
    <w:uiPriority w:val="0"/>
    <w:pPr>
      <w:spacing w:line="500" w:lineRule="exact"/>
      <w:outlineLvl w:val="2"/>
    </w:pPr>
    <w:rPr>
      <w:rFonts w:ascii="仿宋_GB2312" w:hAnsi="仿宋_GB2312" w:eastAsia="仿宋_GB2312"/>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3185</Words>
  <Characters>3272</Characters>
  <Lines>0</Lines>
  <Paragraphs>0</Paragraphs>
  <TotalTime>0</TotalTime>
  <ScaleCrop>false</ScaleCrop>
  <LinksUpToDate>false</LinksUpToDate>
  <CharactersWithSpaces>3277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2024-12-20T06:39:00Z</cp:lastPrinted>
  <dcterms:modified xsi:type="dcterms:W3CDTF">2025-05-13T03:03:26Z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346FFA34085B497EBC39D519952B2361_11</vt:lpwstr>
  </property>
  <property fmtid="{D5CDD505-2E9C-101B-9397-08002B2CF9AE}" pid="4" name="KSOTemplateDocerSaveRecord">
    <vt:lpwstr>eyJoZGlkIjoiMmUwZTBiMzg0ZWI5ZGQ2ZjllMGVlOTI3MDA5NzdjOWYiLCJ1c2VySWQiOiIyNjI0MjkwNzUifQ==</vt:lpwstr>
  </property>
</Properties>
</file>