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B205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0FC71DB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4E2B0DF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543A08FF">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伊汤环审〔2025〕8号</w:t>
      </w:r>
    </w:p>
    <w:p w14:paraId="33FDCFF4">
      <w:pPr>
        <w:jc w:val="center"/>
        <w:rPr>
          <w:rFonts w:hint="eastAsia" w:ascii="新宋体" w:hAnsi="新宋体" w:eastAsia="新宋体" w:cs="新宋体"/>
          <w:b/>
          <w:bCs/>
          <w:sz w:val="44"/>
          <w:szCs w:val="44"/>
          <w:lang w:val="en-US" w:eastAsia="zh-CN"/>
        </w:rPr>
      </w:pPr>
    </w:p>
    <w:p w14:paraId="647DCA69">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w:t>
      </w:r>
      <w:r>
        <w:rPr>
          <w:rFonts w:hint="eastAsia" w:ascii="Times New Roman" w:hAnsi="Times New Roman" w:eastAsia="方正小标宋简体" w:cs="Times New Roman"/>
          <w:sz w:val="44"/>
          <w:szCs w:val="44"/>
          <w:lang w:eastAsia="zh-CN"/>
        </w:rPr>
        <w:t>汤旺县城市燃气供应、储备站建设项目</w:t>
      </w:r>
      <w:r>
        <w:rPr>
          <w:rFonts w:ascii="Times New Roman" w:hAnsi="Times New Roman" w:eastAsia="方正小标宋简体" w:cs="Times New Roman"/>
          <w:sz w:val="44"/>
          <w:szCs w:val="44"/>
        </w:rPr>
        <w:t>环境影响报告表</w:t>
      </w:r>
      <w:r>
        <w:rPr>
          <w:rFonts w:ascii="Times New Roman" w:hAnsi="Times New Roman" w:eastAsia="方正小标宋简体"/>
          <w:sz w:val="44"/>
          <w:szCs w:val="44"/>
        </w:rPr>
        <w:t>的批复</w:t>
      </w:r>
    </w:p>
    <w:p w14:paraId="65BECAB5">
      <w:pPr>
        <w:spacing w:line="560" w:lineRule="exact"/>
        <w:jc w:val="center"/>
        <w:rPr>
          <w:rFonts w:ascii="Times New Roman" w:hAnsi="Times New Roman" w:eastAsia="方正小标宋简体"/>
          <w:sz w:val="44"/>
          <w:szCs w:val="44"/>
        </w:rPr>
      </w:pPr>
    </w:p>
    <w:p w14:paraId="5EFC5966">
      <w:pPr>
        <w:keepNext w:val="0"/>
        <w:keepLines w:val="0"/>
        <w:pageBreakBefore w:val="0"/>
        <w:widowControl w:val="0"/>
        <w:kinsoku/>
        <w:wordWrap/>
        <w:overflowPunct/>
        <w:topLinePunct w:val="0"/>
        <w:bidi w:val="0"/>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rPr>
        <w:t>伊春市伊汤燃气经销有限公司</w:t>
      </w:r>
      <w:r>
        <w:rPr>
          <w:rFonts w:ascii="Times New Roman" w:hAnsi="Times New Roman" w:eastAsia="仿宋"/>
          <w:sz w:val="32"/>
          <w:szCs w:val="32"/>
        </w:rPr>
        <w:t>：</w:t>
      </w:r>
    </w:p>
    <w:p w14:paraId="3A6722A9">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你单位报送的《</w:t>
      </w:r>
      <w:r>
        <w:rPr>
          <w:rFonts w:hint="eastAsia" w:ascii="Times New Roman" w:hAnsi="Times New Roman" w:eastAsia="仿宋" w:cs="Times New Roman"/>
          <w:sz w:val="32"/>
          <w:szCs w:val="32"/>
          <w:lang w:eastAsia="zh-CN"/>
        </w:rPr>
        <w:t>汤旺县城市燃气供应、储备站建设项目</w:t>
      </w:r>
      <w:r>
        <w:rPr>
          <w:rFonts w:ascii="Times New Roman" w:hAnsi="Times New Roman" w:eastAsia="仿宋"/>
          <w:sz w:val="32"/>
          <w:szCs w:val="32"/>
        </w:rPr>
        <w:t>环境影响评价报告表》（以下简称《报告表》）收悉。经研究，批复如下：</w:t>
      </w:r>
      <w:bookmarkStart w:id="1" w:name="_GoBack"/>
      <w:bookmarkEnd w:id="1"/>
    </w:p>
    <w:p w14:paraId="7BE3117F">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一、项目基本情况</w:t>
      </w:r>
    </w:p>
    <w:p w14:paraId="47913608">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 w:hAnsi="仿宋" w:eastAsia="仿宋" w:cs="仿宋"/>
          <w:sz w:val="32"/>
          <w:szCs w:val="32"/>
          <w:lang w:val="en-US" w:eastAsia="zh-CN"/>
        </w:rPr>
      </w:pPr>
      <w:bookmarkStart w:id="0" w:name="_Hlk113032400"/>
      <w:r>
        <w:rPr>
          <w:rFonts w:ascii="Times New Roman" w:hAnsi="Times New Roman" w:eastAsia="仿宋"/>
          <w:sz w:val="32"/>
          <w:szCs w:val="32"/>
        </w:rPr>
        <w:t>本项目</w:t>
      </w:r>
      <w:r>
        <w:rPr>
          <w:rFonts w:hint="eastAsia" w:ascii="仿宋" w:hAnsi="仿宋" w:eastAsia="仿宋" w:cs="仿宋"/>
          <w:sz w:val="32"/>
          <w:szCs w:val="32"/>
        </w:rPr>
        <w:t>位于伊春市汤旺县伊汤加气站西侧，</w:t>
      </w:r>
      <w:bookmarkEnd w:id="0"/>
      <w:r>
        <w:rPr>
          <w:rFonts w:hint="eastAsia" w:ascii="仿宋" w:hAnsi="仿宋" w:eastAsia="仿宋" w:cs="仿宋"/>
          <w:sz w:val="32"/>
          <w:szCs w:val="32"/>
          <w:lang w:val="en-US" w:eastAsia="zh-CN"/>
        </w:rPr>
        <w:t>本项目建设规模为</w:t>
      </w:r>
      <w:r>
        <w:rPr>
          <w:rFonts w:hint="eastAsia" w:ascii="仿宋" w:hAnsi="仿宋" w:eastAsia="仿宋" w:cs="仿宋"/>
          <w:color w:val="000000"/>
          <w:sz w:val="32"/>
          <w:szCs w:val="32"/>
        </w:rPr>
        <w:t>新建LNG地上气化站一座，</w:t>
      </w:r>
      <w:r>
        <w:rPr>
          <w:rFonts w:hint="eastAsia" w:ascii="仿宋" w:hAnsi="仿宋" w:eastAsia="仿宋" w:cs="仿宋"/>
          <w:color w:val="000000"/>
          <w:sz w:val="32"/>
          <w:szCs w:val="32"/>
          <w:lang w:val="en-US" w:eastAsia="zh-CN"/>
        </w:rPr>
        <w:t>设置2台</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m</w:t>
      </w:r>
      <w:r>
        <w:rPr>
          <w:rFonts w:hint="eastAsia" w:ascii="仿宋" w:hAnsi="仿宋" w:eastAsia="仿宋" w:cs="仿宋"/>
          <w:color w:val="000000"/>
          <w:kern w:val="0"/>
          <w:sz w:val="32"/>
          <w:szCs w:val="32"/>
          <w:vertAlign w:val="superscript"/>
        </w:rPr>
        <w:t>3</w:t>
      </w:r>
      <w:r>
        <w:rPr>
          <w:rFonts w:hint="eastAsia" w:ascii="仿宋" w:hAnsi="仿宋" w:eastAsia="仿宋" w:cs="仿宋"/>
          <w:color w:val="000000"/>
          <w:kern w:val="0"/>
          <w:sz w:val="32"/>
          <w:szCs w:val="32"/>
        </w:rPr>
        <w:t>的地上立式低温</w:t>
      </w:r>
      <w:r>
        <w:rPr>
          <w:rFonts w:hint="eastAsia" w:ascii="仿宋" w:hAnsi="仿宋" w:eastAsia="仿宋" w:cs="仿宋"/>
          <w:color w:val="000000"/>
          <w:kern w:val="0"/>
          <w:sz w:val="32"/>
          <w:szCs w:val="32"/>
          <w:lang w:val="en-US" w:eastAsia="zh-CN"/>
        </w:rPr>
        <w:t>LNG</w:t>
      </w:r>
      <w:r>
        <w:rPr>
          <w:rFonts w:hint="eastAsia" w:ascii="仿宋" w:hAnsi="仿宋" w:eastAsia="仿宋" w:cs="仿宋"/>
          <w:color w:val="000000"/>
          <w:kern w:val="0"/>
          <w:sz w:val="32"/>
          <w:szCs w:val="32"/>
        </w:rPr>
        <w:t>储罐</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32"/>
        </w:rPr>
        <w:t>LNG储存规模为</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00m</w:t>
      </w:r>
      <w:r>
        <w:rPr>
          <w:rFonts w:hint="eastAsia" w:ascii="仿宋" w:hAnsi="仿宋" w:eastAsia="仿宋" w:cs="仿宋"/>
          <w:color w:val="000000"/>
          <w:sz w:val="32"/>
          <w:szCs w:val="32"/>
          <w:vertAlign w:val="superscript"/>
        </w:rPr>
        <w:t>3</w:t>
      </w:r>
      <w:r>
        <w:rPr>
          <w:rFonts w:hint="eastAsia" w:ascii="仿宋" w:hAnsi="仿宋" w:eastAsia="仿宋" w:cs="仿宋"/>
          <w:color w:val="000000"/>
          <w:sz w:val="32"/>
          <w:szCs w:val="32"/>
        </w:rPr>
        <w:t>，气化能力为</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00m</w:t>
      </w:r>
      <w:r>
        <w:rPr>
          <w:rFonts w:hint="eastAsia" w:ascii="仿宋" w:hAnsi="仿宋" w:eastAsia="仿宋" w:cs="仿宋"/>
          <w:color w:val="000000"/>
          <w:sz w:val="32"/>
          <w:szCs w:val="32"/>
          <w:vertAlign w:val="superscript"/>
        </w:rPr>
        <w:t>3</w:t>
      </w:r>
      <w:r>
        <w:rPr>
          <w:rFonts w:hint="eastAsia" w:ascii="仿宋" w:hAnsi="仿宋" w:eastAsia="仿宋" w:cs="仿宋"/>
          <w:color w:val="000000"/>
          <w:sz w:val="32"/>
          <w:szCs w:val="32"/>
        </w:rPr>
        <w:t>/h。</w:t>
      </w:r>
      <w:r>
        <w:rPr>
          <w:rFonts w:hint="eastAsia" w:ascii="仿宋" w:hAnsi="仿宋" w:eastAsia="仿宋" w:cs="仿宋"/>
          <w:color w:val="000000"/>
          <w:sz w:val="32"/>
          <w:szCs w:val="32"/>
          <w:lang w:val="en-US" w:eastAsia="zh-CN"/>
        </w:rPr>
        <w:t>项目总投资2000万元，其中环保投资20万元，环保投资占总投资1.00%。</w:t>
      </w:r>
    </w:p>
    <w:p w14:paraId="74AE4F80">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sz w:val="32"/>
          <w:szCs w:val="32"/>
        </w:rPr>
      </w:pPr>
      <w:r>
        <w:rPr>
          <w:rFonts w:ascii="Times New Roman" w:hAnsi="Times New Roman" w:eastAsia="仿宋"/>
          <w:b/>
          <w:bCs/>
          <w:sz w:val="32"/>
          <w:szCs w:val="32"/>
        </w:rPr>
        <w:t>二、环境保护措施落实和管理</w:t>
      </w:r>
      <w:r>
        <w:rPr>
          <w:rFonts w:ascii="Times New Roman" w:hAnsi="Times New Roman" w:eastAsia="仿宋"/>
          <w:sz w:val="32"/>
          <w:szCs w:val="32"/>
        </w:rPr>
        <w:t>　</w:t>
      </w:r>
    </w:p>
    <w:p w14:paraId="4B0A719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（一）施工期间管理</w:t>
      </w:r>
    </w:p>
    <w:p w14:paraId="2708E3DC">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施工期间主要污染源为施工机械、运输车辆汽车尾气，以及施工引起的粉尘和土料运输引起的道路扬尘等。企业需要加强施工扬尘、噪声污染控制，作业场地要采取围挡、围护措施，材料堆放场地应进行硬化处理，每天定期洒水抑尘，运输车辆要覆盖；建筑垃圾拉运至市政部门指定地点，生活垃圾由环卫部门统一处置，避免随意堆放。施工期间需强化噪声污染控制，严格施工时间，需连续作业时，应向当地生态环境部门申请，批准后方可施工。</w:t>
      </w:r>
    </w:p>
    <w:p w14:paraId="228E0BE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（二）运营期间管理</w:t>
      </w:r>
    </w:p>
    <w:p w14:paraId="3682FFD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1、大气环境保护措施</w:t>
      </w:r>
    </w:p>
    <w:p w14:paraId="7711CE4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运营期废气主要为高空放散过程、卸车过程、储罐首次充装和检修时产生的少量甲烷、烃类和天然气调压计量后进行加臭产生的臭气。非甲烷总烃执行《大气污染物综合排放标准》（</w:t>
      </w:r>
      <w:r>
        <w:rPr>
          <w:rFonts w:hint="default" w:ascii="仿宋" w:hAnsi="仿宋" w:eastAsia="仿宋" w:cs="仿宋"/>
          <w:bCs/>
          <w:color w:val="auto"/>
          <w:sz w:val="32"/>
          <w:szCs w:val="32"/>
          <w:highlight w:val="none"/>
          <w:lang w:val="en-US" w:eastAsia="zh-CN"/>
        </w:rPr>
        <w:t>GB16297-1996</w:t>
      </w:r>
      <w:r>
        <w:rPr>
          <w:rFonts w:hint="eastAsia" w:ascii="仿宋" w:hAnsi="仿宋" w:eastAsia="仿宋" w:cs="仿宋"/>
          <w:bCs/>
          <w:color w:val="auto"/>
          <w:sz w:val="32"/>
          <w:szCs w:val="32"/>
          <w:highlight w:val="none"/>
          <w:lang w:val="en-US" w:eastAsia="zh-CN"/>
        </w:rPr>
        <w:t>）中表2中无组织排放监控浓度限值、</w:t>
      </w:r>
      <w:r>
        <w:rPr>
          <w:rFonts w:hint="default" w:ascii="仿宋" w:hAnsi="仿宋" w:eastAsia="仿宋" w:cs="仿宋"/>
          <w:bCs/>
          <w:color w:val="auto"/>
          <w:sz w:val="32"/>
          <w:szCs w:val="32"/>
          <w:highlight w:val="none"/>
          <w:lang w:val="en-US" w:eastAsia="zh-CN"/>
        </w:rPr>
        <w:t>《挥发性有机物无组织排放控制标准》（GB37822-2019）</w:t>
      </w:r>
      <w:r>
        <w:rPr>
          <w:rFonts w:hint="eastAsia" w:ascii="仿宋" w:hAnsi="仿宋" w:eastAsia="仿宋" w:cs="仿宋"/>
          <w:bCs/>
          <w:color w:val="auto"/>
          <w:sz w:val="32"/>
          <w:szCs w:val="32"/>
          <w:highlight w:val="none"/>
          <w:lang w:val="en-US" w:eastAsia="zh-CN"/>
        </w:rPr>
        <w:t>中无组织排放限值，臭气浓度执行《恶臭污染物排放标准》（GB14554-93）表1厂界限值浓度。</w:t>
      </w:r>
    </w:p>
    <w:p w14:paraId="1BED6B3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2、地表水环境保护措施</w:t>
      </w:r>
    </w:p>
    <w:p w14:paraId="0D76D3B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生活污水排入防渗化粪池，定期清掏，外运堆肥，不外排。初期雨水自然蒸干，不外排</w:t>
      </w:r>
      <w:r>
        <w:rPr>
          <w:rFonts w:hint="eastAsia" w:ascii="仿宋" w:hAnsi="仿宋" w:eastAsia="仿宋" w:cs="仿宋"/>
          <w:bCs/>
          <w:color w:val="auto"/>
          <w:sz w:val="32"/>
          <w:szCs w:val="32"/>
          <w:highlight w:val="none"/>
          <w:lang w:eastAsia="zh-CN"/>
        </w:rPr>
        <w:t>。</w:t>
      </w:r>
    </w:p>
    <w:p w14:paraId="292DA4D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3、声环境保护措施</w:t>
      </w:r>
    </w:p>
    <w:p w14:paraId="0C28A7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选用低噪声设备，采取</w:t>
      </w:r>
      <w:r>
        <w:rPr>
          <w:rFonts w:hint="eastAsia" w:ascii="仿宋" w:hAnsi="仿宋" w:eastAsia="仿宋" w:cs="仿宋"/>
          <w:bCs/>
          <w:color w:val="auto"/>
          <w:sz w:val="32"/>
          <w:szCs w:val="32"/>
          <w:highlight w:val="none"/>
          <w:lang w:val="en-US" w:eastAsia="zh-CN"/>
        </w:rPr>
        <w:t>减振</w:t>
      </w:r>
      <w:r>
        <w:rPr>
          <w:rFonts w:hint="eastAsia" w:ascii="仿宋" w:hAnsi="仿宋" w:eastAsia="仿宋" w:cs="仿宋"/>
          <w:bCs/>
          <w:color w:val="auto"/>
          <w:sz w:val="32"/>
          <w:szCs w:val="32"/>
          <w:highlight w:val="none"/>
        </w:rPr>
        <w:t>降噪措施，减少噪声对外环境的影响。厂界噪声贡献值</w:t>
      </w:r>
      <w:r>
        <w:rPr>
          <w:rFonts w:hint="eastAsia" w:ascii="仿宋" w:hAnsi="仿宋" w:eastAsia="仿宋" w:cs="仿宋"/>
          <w:bCs/>
          <w:color w:val="auto"/>
          <w:sz w:val="32"/>
          <w:szCs w:val="32"/>
          <w:highlight w:val="none"/>
          <w:lang w:val="en-US" w:eastAsia="zh-CN"/>
        </w:rPr>
        <w:t>执行</w:t>
      </w:r>
      <w:r>
        <w:rPr>
          <w:rFonts w:hint="eastAsia" w:ascii="仿宋" w:hAnsi="仿宋" w:eastAsia="仿宋" w:cs="仿宋"/>
          <w:bCs/>
          <w:color w:val="auto"/>
          <w:sz w:val="32"/>
          <w:szCs w:val="32"/>
          <w:highlight w:val="none"/>
        </w:rPr>
        <w:t>《工业企业厂界环境噪声排放标准》（GB12348-2008）中2类标准限值要求。</w:t>
      </w:r>
    </w:p>
    <w:p w14:paraId="1F4397D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4、固体废物处置措施</w:t>
      </w:r>
    </w:p>
    <w:p w14:paraId="17A316AD">
      <w:pPr>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运营期产生的</w:t>
      </w:r>
      <w:r>
        <w:rPr>
          <w:rFonts w:hint="eastAsia" w:ascii="仿宋" w:hAnsi="仿宋" w:eastAsia="仿宋" w:cs="仿宋"/>
          <w:color w:val="auto"/>
          <w:sz w:val="32"/>
          <w:szCs w:val="32"/>
          <w:highlight w:val="none"/>
          <w:lang w:eastAsia="zh-CN"/>
        </w:rPr>
        <w:t>废滤芯、废胶垫、废阀门收集后外售，生活垃圾委托环卫清运，沉淀池沉渣运至垃圾填埋场处置。</w:t>
      </w:r>
    </w:p>
    <w:p w14:paraId="439D52F1">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环境风险。</w:t>
      </w:r>
    </w:p>
    <w:p w14:paraId="6ED2FCCD">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Times New Roman"/>
          <w:color w:val="auto"/>
          <w:kern w:val="2"/>
          <w:sz w:val="32"/>
          <w:szCs w:val="32"/>
          <w:highlight w:val="none"/>
          <w:lang w:val="en-US" w:eastAsia="zh-CN" w:bidi="ar-SA"/>
        </w:rPr>
        <w:t>项目运行期间，必须严格按照有关规范标准的要求，落实污染物监测计划，建立健全安全生产管理体系，明确人员责任分工，加强现场监管与巡检，严格落实环境风险防范措施，加强控制和管理，杜绝、避免和减轻环境风险。制定环境风险应急预案，加强应急演练。</w:t>
      </w:r>
    </w:p>
    <w:p w14:paraId="14144819">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三、环境监管要求</w:t>
      </w:r>
    </w:p>
    <w:p w14:paraId="65D6AF35">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建设单位要严格落实报告表提出的各项环保措施，由</w:t>
      </w:r>
      <w:r>
        <w:rPr>
          <w:rFonts w:hint="eastAsia" w:ascii="Times New Roman" w:hAnsi="Times New Roman" w:eastAsia="仿宋"/>
          <w:sz w:val="32"/>
          <w:szCs w:val="32"/>
          <w:lang w:val="en-US" w:eastAsia="zh-CN"/>
        </w:rPr>
        <w:t>汤旺</w:t>
      </w:r>
      <w:r>
        <w:rPr>
          <w:rFonts w:ascii="Times New Roman" w:hAnsi="Times New Roman" w:eastAsia="仿宋"/>
          <w:sz w:val="32"/>
          <w:szCs w:val="32"/>
        </w:rPr>
        <w:t>生态环境局对该项目的环境保护进行全程严格环境监督管理，确保该项目的环境保护措施全面落实。建成后，建设单位应当按照国务院环境保护行政主管部门规定的标准和程序，对配套建设的环境保护设施进行验收，编制验收报告并依法向社会公开验收报告，项目方可正式投入使用。正式投产前要及时办理排污许可证。</w:t>
      </w:r>
    </w:p>
    <w:p w14:paraId="1D516047">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报告表》经批准后，项目的性质、规模、地点或者防治污染的措施发生重大变动的，应当重新报批该项目的环境影响报告表。自环境影响报告表批复文件批准之日起，如超过5年方决定开工建设的，环境影响报告表应当重新审核。</w:t>
      </w:r>
    </w:p>
    <w:p w14:paraId="4F54FAFD">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本批复仅说明该项目符合环境保护相关要求，项目建设单位在项目开工建设前应依法取得其他相关部门的合法批件，确保项目的建设实施符合相关法律法规的规定。</w:t>
      </w:r>
    </w:p>
    <w:p w14:paraId="3919E2BE">
      <w:pPr>
        <w:keepNext w:val="0"/>
        <w:keepLines w:val="0"/>
        <w:pageBreakBefore w:val="0"/>
        <w:widowControl w:val="0"/>
        <w:kinsoku/>
        <w:wordWrap/>
        <w:overflowPunct/>
        <w:topLinePunct w:val="0"/>
        <w:autoSpaceDE w:val="0"/>
        <w:autoSpaceDN w:val="0"/>
        <w:bidi w:val="0"/>
        <w:spacing w:line="560" w:lineRule="exact"/>
        <w:ind w:firstLine="640" w:firstLineChars="200"/>
        <w:textAlignment w:val="auto"/>
        <w:rPr>
          <w:rFonts w:ascii="Times New Roman" w:hAnsi="Times New Roman" w:eastAsia="仿宋_GB2312"/>
          <w:sz w:val="32"/>
          <w:szCs w:val="32"/>
        </w:rPr>
      </w:pPr>
    </w:p>
    <w:p w14:paraId="13380E3C">
      <w:pPr>
        <w:pStyle w:val="5"/>
        <w:keepNext w:val="0"/>
        <w:keepLines w:val="0"/>
        <w:pageBreakBefore w:val="0"/>
        <w:widowControl w:val="0"/>
        <w:kinsoku/>
        <w:wordWrap/>
        <w:overflowPunct/>
        <w:topLinePunct w:val="0"/>
        <w:bidi w:val="0"/>
        <w:spacing w:line="560" w:lineRule="exact"/>
        <w:textAlignment w:val="auto"/>
        <w:rPr>
          <w:rFonts w:ascii="Times New Roman" w:hAnsi="Times New Roman" w:eastAsia="仿宋_GB2312"/>
          <w:sz w:val="32"/>
          <w:szCs w:val="32"/>
        </w:rPr>
      </w:pPr>
    </w:p>
    <w:p w14:paraId="01F07A3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C96D">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B15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95372"/>
    <w:multiLevelType w:val="singleLevel"/>
    <w:tmpl w:val="D0295372"/>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jE0ODY0YzUzMzU2N2EyOTFkYjA4ZWVlNmY4NDEifQ=="/>
  </w:docVars>
  <w:rsids>
    <w:rsidRoot w:val="2B251EBB"/>
    <w:rsid w:val="1191065F"/>
    <w:rsid w:val="2B251EBB"/>
    <w:rsid w:val="2E4A2BFD"/>
    <w:rsid w:val="364843C1"/>
    <w:rsid w:val="428D727E"/>
    <w:rsid w:val="437F5697"/>
    <w:rsid w:val="4536433C"/>
    <w:rsid w:val="517F6C58"/>
    <w:rsid w:val="667E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style>
  <w:style w:type="paragraph" w:styleId="6">
    <w:name w:val="Body Text First Indent"/>
    <w:basedOn w:val="2"/>
    <w:next w:val="1"/>
    <w:qFormat/>
    <w:uiPriority w:val="0"/>
    <w:pPr>
      <w:spacing w:after="120"/>
      <w:ind w:firstLine="420" w:firstLineChars="100"/>
    </w:pPr>
    <w:rPr>
      <w:sz w:val="21"/>
    </w:rPr>
  </w:style>
  <w:style w:type="character" w:styleId="9">
    <w:name w:val="page number"/>
    <w:qFormat/>
    <w:uiPriority w:val="0"/>
  </w:style>
  <w:style w:type="paragraph" w:customStyle="1" w:styleId="10">
    <w:name w:val="Default"/>
    <w:basedOn w:val="11"/>
    <w:next w:val="1"/>
    <w:autoRedefine/>
    <w:unhideWhenUsed/>
    <w:qFormat/>
    <w:uiPriority w:val="0"/>
    <w:pPr>
      <w:widowControl w:val="0"/>
      <w:autoSpaceDE w:val="0"/>
      <w:autoSpaceDN w:val="0"/>
    </w:pPr>
    <w:rPr>
      <w:rFonts w:hint="eastAsia" w:hAnsi="宋体"/>
      <w:color w:val="000000"/>
    </w:rPr>
  </w:style>
  <w:style w:type="paragraph" w:customStyle="1" w:styleId="11">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1300</Words>
  <Characters>1382</Characters>
  <Lines>0</Lines>
  <Paragraphs>0</Paragraphs>
  <TotalTime>2</TotalTime>
  <ScaleCrop>false</ScaleCrop>
  <LinksUpToDate>false</LinksUpToDate>
  <CharactersWithSpaces>1415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2024-08-12T07:52:00Z</dcterms:created>
  <dc:creator>唐人街的教堂丶</dc:creator>
  <cp:lastModifiedBy>唐人街的教堂丶</cp:lastModifiedBy>
  <cp:lastPrinted>2024-08-23T06:08:00Z</cp:lastPrinted>
  <dcterms:modified xsi:type="dcterms:W3CDTF">2025-05-13T06:05:27Z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A067C6F2A1B34847B9AA1811E80861DC_13</vt:lpwstr>
  </property>
  <property fmtid="{D5CDD505-2E9C-101B-9397-08002B2CF9AE}" pid="4" name="KSOTemplateDocerSaveRecord">
    <vt:lpwstr>eyJoZGlkIjoiMmUwZTBiMzg0ZWI5ZGQ2ZjllMGVlOTI3MDA5NzdjOWYiLCJ1c2VySWQiOiIyNjI0MjkwNzUifQ==</vt:lpwstr>
  </property>
</Properties>
</file>