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B205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微软雅黑" w:hAnsi="微软雅黑" w:eastAsia="微软雅黑" w:cs="微软雅黑"/>
          <w:sz w:val="44"/>
          <w:szCs w:val="44"/>
          <w:lang w:val="en-US" w:eastAsia="zh-CN"/>
        </w:rPr>
      </w:pPr>
    </w:p>
    <w:p w14:paraId="0FC71DB6">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微软雅黑" w:hAnsi="微软雅黑" w:eastAsia="微软雅黑" w:cs="微软雅黑"/>
          <w:sz w:val="44"/>
          <w:szCs w:val="44"/>
          <w:lang w:val="en-US" w:eastAsia="zh-CN"/>
        </w:rPr>
      </w:pPr>
    </w:p>
    <w:p w14:paraId="4E2B0DF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微软雅黑" w:hAnsi="微软雅黑" w:eastAsia="微软雅黑" w:cs="微软雅黑"/>
          <w:sz w:val="44"/>
          <w:szCs w:val="44"/>
          <w:lang w:val="en-US" w:eastAsia="zh-CN"/>
        </w:rPr>
      </w:pPr>
    </w:p>
    <w:p w14:paraId="21FFE8AE">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伊汤环审〔2025〕9号</w:t>
      </w:r>
    </w:p>
    <w:p w14:paraId="54CDF146">
      <w:pPr>
        <w:jc w:val="center"/>
        <w:rPr>
          <w:rFonts w:hint="eastAsia" w:ascii="新宋体" w:hAnsi="新宋体" w:eastAsia="新宋体" w:cs="新宋体"/>
          <w:b/>
          <w:bCs/>
          <w:sz w:val="44"/>
          <w:szCs w:val="44"/>
          <w:lang w:val="en-US" w:eastAsia="zh-CN"/>
        </w:rPr>
      </w:pPr>
    </w:p>
    <w:p w14:paraId="6D7C3EAD">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w:t>
      </w:r>
      <w:r>
        <w:rPr>
          <w:rFonts w:hint="eastAsia" w:ascii="Times New Roman" w:hAnsi="Times New Roman" w:eastAsia="方正小标宋简体" w:cs="Times New Roman"/>
          <w:sz w:val="44"/>
          <w:szCs w:val="44"/>
          <w:lang w:eastAsia="zh-CN"/>
        </w:rPr>
        <w:t>黑龙江省汤旺县森林植物饮品产线升级改造项目</w:t>
      </w:r>
      <w:r>
        <w:rPr>
          <w:rFonts w:ascii="Times New Roman" w:hAnsi="Times New Roman" w:eastAsia="方正小标宋简体" w:cs="Times New Roman"/>
          <w:sz w:val="44"/>
          <w:szCs w:val="44"/>
        </w:rPr>
        <w:t>环境影响评价报告表</w:t>
      </w:r>
      <w:r>
        <w:rPr>
          <w:rFonts w:ascii="Times New Roman" w:hAnsi="Times New Roman" w:eastAsia="方正小标宋简体"/>
          <w:sz w:val="44"/>
          <w:szCs w:val="44"/>
        </w:rPr>
        <w:t>的批复</w:t>
      </w:r>
    </w:p>
    <w:p w14:paraId="4E90BCE4">
      <w:pPr>
        <w:spacing w:line="560" w:lineRule="exact"/>
        <w:jc w:val="center"/>
        <w:rPr>
          <w:rFonts w:ascii="Times New Roman" w:hAnsi="Times New Roman" w:eastAsia="方正小标宋简体"/>
          <w:sz w:val="44"/>
          <w:szCs w:val="44"/>
        </w:rPr>
      </w:pPr>
    </w:p>
    <w:p w14:paraId="671AD090">
      <w:pPr>
        <w:keepNext w:val="0"/>
        <w:keepLines w:val="0"/>
        <w:pageBreakBefore w:val="0"/>
        <w:widowControl w:val="0"/>
        <w:kinsoku/>
        <w:wordWrap/>
        <w:overflowPunct/>
        <w:topLinePunct w:val="0"/>
        <w:bidi w:val="0"/>
        <w:spacing w:line="560" w:lineRule="exact"/>
        <w:textAlignment w:val="auto"/>
        <w:rPr>
          <w:rFonts w:ascii="Times New Roman" w:hAnsi="Times New Roman" w:eastAsia="仿宋"/>
          <w:sz w:val="32"/>
          <w:szCs w:val="32"/>
        </w:rPr>
      </w:pPr>
      <w:r>
        <w:rPr>
          <w:rFonts w:hint="eastAsia" w:ascii="Times New Roman" w:hAnsi="Times New Roman" w:eastAsia="仿宋" w:cs="Times New Roman"/>
          <w:sz w:val="32"/>
          <w:szCs w:val="32"/>
          <w:lang w:val="en-US" w:eastAsia="zh-CN"/>
        </w:rPr>
        <w:t>伊春市鑫旺山特产品开发有限公司</w:t>
      </w:r>
      <w:r>
        <w:rPr>
          <w:rFonts w:ascii="Times New Roman" w:hAnsi="Times New Roman" w:eastAsia="仿宋"/>
          <w:sz w:val="32"/>
          <w:szCs w:val="32"/>
        </w:rPr>
        <w:t>：</w:t>
      </w:r>
    </w:p>
    <w:p w14:paraId="22C7F16A">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你单位报送的《</w:t>
      </w:r>
      <w:r>
        <w:rPr>
          <w:rFonts w:hint="eastAsia" w:ascii="Times New Roman" w:hAnsi="Times New Roman" w:eastAsia="仿宋" w:cs="Times New Roman"/>
          <w:sz w:val="32"/>
          <w:szCs w:val="32"/>
          <w:lang w:eastAsia="zh-CN"/>
        </w:rPr>
        <w:t>黑龙江省汤旺县森林植物饮品产线升级改造项目</w:t>
      </w:r>
      <w:r>
        <w:rPr>
          <w:rFonts w:ascii="Times New Roman" w:hAnsi="Times New Roman" w:eastAsia="仿宋" w:cs="Times New Roman"/>
          <w:sz w:val="32"/>
          <w:szCs w:val="32"/>
        </w:rPr>
        <w:t>环境影响评</w:t>
      </w:r>
      <w:r>
        <w:rPr>
          <w:rFonts w:ascii="Times New Roman" w:hAnsi="Times New Roman" w:eastAsia="仿宋"/>
          <w:sz w:val="32"/>
          <w:szCs w:val="32"/>
        </w:rPr>
        <w:t>价报告表》（以下简称《报告表》）收悉。经研究，批复如下：</w:t>
      </w:r>
    </w:p>
    <w:p w14:paraId="07D0D8DF">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b/>
          <w:bCs/>
          <w:sz w:val="32"/>
          <w:szCs w:val="32"/>
        </w:rPr>
      </w:pPr>
      <w:r>
        <w:rPr>
          <w:rFonts w:ascii="Times New Roman" w:hAnsi="Times New Roman" w:eastAsia="仿宋"/>
          <w:b/>
          <w:bCs/>
          <w:sz w:val="32"/>
          <w:szCs w:val="32"/>
        </w:rPr>
        <w:t>一、项目基本情况</w:t>
      </w:r>
    </w:p>
    <w:p w14:paraId="6F8129C0">
      <w:pPr>
        <w:keepNext w:val="0"/>
        <w:keepLines w:val="0"/>
        <w:pageBreakBefore w:val="0"/>
        <w:widowControl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 w:cs="Times New Roman"/>
          <w:sz w:val="32"/>
          <w:szCs w:val="32"/>
          <w:lang w:val="en-US" w:eastAsia="zh-CN"/>
        </w:rPr>
      </w:pPr>
      <w:bookmarkStart w:id="0" w:name="_Hlk113032400"/>
      <w:r>
        <w:rPr>
          <w:rFonts w:hint="eastAsia" w:ascii="Times New Roman" w:hAnsi="Times New Roman" w:eastAsia="仿宋" w:cs="Times New Roman"/>
          <w:sz w:val="32"/>
          <w:szCs w:val="32"/>
          <w:lang w:eastAsia="zh-CN"/>
        </w:rPr>
        <w:t>本项目位于黑龙江省伊春市汤旺县振兴社区河北委沿河路32号，伊春市鑫旺山特产有限公司饮料车间内。</w:t>
      </w:r>
      <w:bookmarkEnd w:id="0"/>
      <w:r>
        <w:rPr>
          <w:rFonts w:hint="eastAsia" w:ascii="Times New Roman" w:hAnsi="Times New Roman" w:eastAsia="仿宋" w:cs="Times New Roman"/>
          <w:sz w:val="32"/>
          <w:szCs w:val="32"/>
          <w:lang w:eastAsia="zh-CN"/>
        </w:rPr>
        <w:t>投资规模</w:t>
      </w:r>
      <w:r>
        <w:rPr>
          <w:rFonts w:hint="eastAsia" w:ascii="Times New Roman" w:hAnsi="Times New Roman" w:eastAsia="仿宋" w:cs="Times New Roman"/>
          <w:sz w:val="32"/>
          <w:szCs w:val="32"/>
          <w:lang w:val="en-US" w:eastAsia="zh-CN"/>
        </w:rPr>
        <w:t>为2950</w:t>
      </w:r>
      <w:r>
        <w:rPr>
          <w:rFonts w:hint="eastAsia" w:ascii="Times New Roman" w:hAnsi="Times New Roman" w:eastAsia="仿宋" w:cs="Times New Roman"/>
          <w:sz w:val="32"/>
          <w:szCs w:val="32"/>
          <w:lang w:eastAsia="zh-CN"/>
        </w:rPr>
        <w:t>万元。</w:t>
      </w:r>
      <w:r>
        <w:rPr>
          <w:rFonts w:hint="eastAsia" w:ascii="Times New Roman" w:hAnsi="Times New Roman" w:eastAsia="仿宋" w:cs="Times New Roman"/>
          <w:sz w:val="32"/>
          <w:szCs w:val="32"/>
          <w:lang w:val="en-US" w:eastAsia="zh-CN"/>
        </w:rPr>
        <w:t>本项目</w:t>
      </w:r>
      <w:r>
        <w:rPr>
          <w:rFonts w:hint="default" w:ascii="Times New Roman" w:hAnsi="Times New Roman" w:eastAsia="仿宋" w:cs="Times New Roman"/>
          <w:sz w:val="32"/>
          <w:szCs w:val="32"/>
          <w:lang w:val="en-US" w:eastAsia="zh-CN"/>
        </w:rPr>
        <w:t>建设规模包括</w:t>
      </w:r>
      <w:r>
        <w:rPr>
          <w:rFonts w:hint="eastAsia" w:ascii="Times New Roman" w:hAnsi="Times New Roman" w:eastAsia="仿宋" w:cs="Times New Roman"/>
          <w:sz w:val="32"/>
          <w:szCs w:val="32"/>
          <w:lang w:val="en-US" w:eastAsia="zh-CN"/>
        </w:rPr>
        <w:t>在原有的原汁生车间进行设备改造，淘汰液体定量灌装机、管式杀菌机等落后低效设备及超期服役老旧设备18台/套，更新灌装生产线、管式杀菌机组等高技术、高效率、高可靠性的先进设备25台/套。生产车间</w:t>
      </w:r>
      <w:r>
        <w:rPr>
          <w:rFonts w:hint="default" w:ascii="Times New Roman" w:hAnsi="Times New Roman" w:eastAsia="仿宋" w:cs="Times New Roman"/>
          <w:sz w:val="32"/>
          <w:szCs w:val="32"/>
          <w:lang w:val="en-US" w:eastAsia="zh-CN"/>
        </w:rPr>
        <w:t>占地面积</w:t>
      </w:r>
      <w:r>
        <w:rPr>
          <w:rFonts w:hint="eastAsia" w:ascii="Times New Roman" w:hAnsi="Times New Roman" w:eastAsia="仿宋" w:cs="Times New Roman"/>
          <w:sz w:val="32"/>
          <w:szCs w:val="32"/>
          <w:lang w:val="en-US" w:eastAsia="zh-CN"/>
        </w:rPr>
        <w:t>1687.11</w:t>
      </w:r>
      <w:r>
        <w:rPr>
          <w:rFonts w:hint="default" w:ascii="Times New Roman" w:hAnsi="Times New Roman" w:eastAsia="仿宋" w:cs="Times New Roman"/>
          <w:sz w:val="32"/>
          <w:szCs w:val="32"/>
          <w:lang w:val="en-US" w:eastAsia="zh-CN"/>
        </w:rPr>
        <w:t>m2，建设</w:t>
      </w:r>
      <w:r>
        <w:rPr>
          <w:rFonts w:hint="eastAsia" w:ascii="Times New Roman" w:hAnsi="Times New Roman" w:eastAsia="仿宋" w:cs="Times New Roman"/>
          <w:sz w:val="32"/>
          <w:szCs w:val="32"/>
          <w:lang w:val="en-US" w:eastAsia="zh-CN"/>
        </w:rPr>
        <w:t>完成后</w:t>
      </w:r>
      <w:r>
        <w:rPr>
          <w:rFonts w:hint="default" w:ascii="Times New Roman" w:hAnsi="Times New Roman" w:eastAsia="仿宋" w:cs="Times New Roman"/>
          <w:sz w:val="32"/>
          <w:szCs w:val="32"/>
          <w:lang w:val="en-US" w:eastAsia="zh-CN"/>
        </w:rPr>
        <w:t>年产</w:t>
      </w:r>
      <w:r>
        <w:rPr>
          <w:rFonts w:hint="eastAsia"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lang w:val="en-US" w:eastAsia="zh-CN"/>
        </w:rPr>
        <w:t>桦树汁</w:t>
      </w:r>
      <w:r>
        <w:rPr>
          <w:rFonts w:hint="eastAsia" w:ascii="Times New Roman" w:hAnsi="Times New Roman" w:eastAsia="仿宋" w:cs="Times New Roman"/>
          <w:sz w:val="32"/>
          <w:szCs w:val="32"/>
          <w:lang w:val="en-US" w:eastAsia="zh-CN"/>
        </w:rPr>
        <w:t>8000</w:t>
      </w:r>
      <w:r>
        <w:rPr>
          <w:rFonts w:hint="default" w:ascii="Times New Roman" w:hAnsi="Times New Roman" w:eastAsia="仿宋" w:cs="Times New Roman"/>
          <w:sz w:val="32"/>
          <w:szCs w:val="32"/>
          <w:lang w:val="en-US" w:eastAsia="zh-CN"/>
        </w:rPr>
        <w:t>吨、</w:t>
      </w:r>
      <w:r>
        <w:rPr>
          <w:rFonts w:hint="eastAsia" w:ascii="Times New Roman" w:hAnsi="Times New Roman" w:eastAsia="仿宋" w:cs="Times New Roman"/>
          <w:sz w:val="32"/>
          <w:szCs w:val="32"/>
          <w:lang w:val="en-US" w:eastAsia="zh-CN"/>
        </w:rPr>
        <w:t>浓缩桦树汁1</w:t>
      </w:r>
      <w:r>
        <w:rPr>
          <w:rFonts w:hint="default" w:ascii="Times New Roman" w:hAnsi="Times New Roman" w:eastAsia="仿宋" w:cs="Times New Roman"/>
          <w:sz w:val="32"/>
          <w:szCs w:val="32"/>
          <w:lang w:val="en-US" w:eastAsia="zh-CN"/>
        </w:rPr>
        <w:t>00吨，</w:t>
      </w:r>
      <w:r>
        <w:rPr>
          <w:rFonts w:hint="eastAsia" w:ascii="Times New Roman" w:hAnsi="Times New Roman" w:eastAsia="仿宋" w:cs="Times New Roman"/>
          <w:sz w:val="32"/>
          <w:szCs w:val="32"/>
          <w:lang w:val="en-US" w:eastAsia="zh-CN"/>
        </w:rPr>
        <w:t>灭菌蒸汽用热由松蓝农产品商贸冷链基地有限公司建设的4t/h生物质锅炉进行供给，不建设锅炉</w:t>
      </w:r>
      <w:r>
        <w:rPr>
          <w:rFonts w:hint="default" w:ascii="Times New Roman" w:hAnsi="Times New Roman" w:eastAsia="仿宋" w:cs="Times New Roman"/>
          <w:sz w:val="32"/>
          <w:szCs w:val="32"/>
          <w:lang w:val="en-US" w:eastAsia="zh-CN"/>
        </w:rPr>
        <w:t>。</w:t>
      </w:r>
    </w:p>
    <w:p w14:paraId="64409469">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sz w:val="32"/>
          <w:szCs w:val="32"/>
        </w:rPr>
      </w:pPr>
      <w:r>
        <w:rPr>
          <w:rFonts w:ascii="Times New Roman" w:hAnsi="Times New Roman" w:eastAsia="仿宋"/>
          <w:b/>
          <w:bCs/>
          <w:sz w:val="32"/>
          <w:szCs w:val="32"/>
        </w:rPr>
        <w:t>二、环境保护措施落实和管理</w:t>
      </w:r>
      <w:r>
        <w:rPr>
          <w:rFonts w:ascii="Times New Roman" w:hAnsi="Times New Roman" w:eastAsia="仿宋"/>
          <w:sz w:val="32"/>
          <w:szCs w:val="32"/>
        </w:rPr>
        <w:t>　</w:t>
      </w:r>
    </w:p>
    <w:p w14:paraId="5FD00A2E">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（一）施工期间管理</w:t>
      </w:r>
    </w:p>
    <w:p w14:paraId="5E8DB0BA">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本</w:t>
      </w:r>
      <w:r>
        <w:rPr>
          <w:rFonts w:hint="eastAsia" w:ascii="仿宋" w:hAnsi="仿宋" w:eastAsia="仿宋" w:cs="仿宋"/>
          <w:sz w:val="32"/>
          <w:szCs w:val="32"/>
          <w:lang w:val="zh-CN" w:eastAsia="zh-CN"/>
        </w:rPr>
        <w:t>项目</w:t>
      </w:r>
      <w:r>
        <w:rPr>
          <w:rFonts w:hint="eastAsia" w:ascii="仿宋" w:hAnsi="仿宋" w:eastAsia="仿宋" w:cs="仿宋"/>
          <w:sz w:val="32"/>
          <w:szCs w:val="32"/>
          <w:lang w:val="en-US" w:eastAsia="zh-CN"/>
        </w:rPr>
        <w:t>利用现有</w:t>
      </w:r>
      <w:r>
        <w:rPr>
          <w:rFonts w:hint="eastAsia" w:ascii="仿宋" w:hAnsi="仿宋" w:eastAsia="仿宋" w:cs="仿宋"/>
          <w:sz w:val="32"/>
          <w:szCs w:val="32"/>
          <w:lang w:val="zh-CN" w:eastAsia="zh-CN"/>
        </w:rPr>
        <w:t>厂房进行</w:t>
      </w:r>
      <w:r>
        <w:rPr>
          <w:rFonts w:hint="eastAsia" w:ascii="仿宋" w:hAnsi="仿宋" w:eastAsia="仿宋" w:cs="仿宋"/>
          <w:sz w:val="32"/>
          <w:szCs w:val="32"/>
          <w:lang w:val="en-US" w:eastAsia="zh-CN"/>
        </w:rPr>
        <w:t>建设</w:t>
      </w:r>
      <w:r>
        <w:rPr>
          <w:rFonts w:hint="eastAsia" w:ascii="仿宋" w:hAnsi="仿宋" w:eastAsia="仿宋" w:cs="仿宋"/>
          <w:sz w:val="32"/>
          <w:szCs w:val="32"/>
          <w:lang w:val="zh-CN" w:eastAsia="zh-CN"/>
        </w:rPr>
        <w:t>，施工期无土建作业，仅在厂房内进行设备的安装调试等。</w:t>
      </w:r>
    </w:p>
    <w:p w14:paraId="1A8E8220">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（二）运营期间管理</w:t>
      </w:r>
    </w:p>
    <w:p w14:paraId="5F82C13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1、大气环境保护措施</w:t>
      </w:r>
    </w:p>
    <w:p w14:paraId="2AAA5A7E">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运行期产生的废气主要为</w:t>
      </w:r>
      <w:r>
        <w:rPr>
          <w:rFonts w:hint="eastAsia" w:ascii="仿宋" w:hAnsi="仿宋" w:eastAsia="仿宋" w:cs="仿宋"/>
          <w:sz w:val="32"/>
          <w:szCs w:val="32"/>
          <w:lang w:val="zh-CN" w:eastAsia="zh-CN"/>
        </w:rPr>
        <w:t>污水处理设施在进行污水处理时会产生恶臭气体。污水处理设施各池体进行全封闭，产生的恶臭气体经风机集气活性炭吸附后经15m高排气筒排放。执行标准</w:t>
      </w:r>
      <w:r>
        <w:rPr>
          <w:rFonts w:hint="eastAsia" w:ascii="仿宋" w:hAnsi="仿宋" w:eastAsia="仿宋" w:cs="仿宋"/>
          <w:sz w:val="32"/>
          <w:szCs w:val="32"/>
          <w:lang w:val="en-US" w:eastAsia="zh-CN"/>
        </w:rPr>
        <w:t>为</w:t>
      </w:r>
      <w:r>
        <w:rPr>
          <w:rFonts w:hint="eastAsia" w:ascii="仿宋" w:hAnsi="仿宋" w:eastAsia="仿宋" w:cs="仿宋"/>
          <w:sz w:val="32"/>
          <w:szCs w:val="32"/>
          <w:lang w:val="zh-CN" w:eastAsia="zh-CN"/>
        </w:rPr>
        <w:t>《恶臭污染物排放标准》（GB14554-93）表2恶臭污染物排放标准。</w:t>
      </w:r>
      <w:r>
        <w:rPr>
          <w:rFonts w:hint="eastAsia" w:ascii="仿宋" w:hAnsi="仿宋" w:eastAsia="仿宋" w:cs="仿宋"/>
          <w:sz w:val="32"/>
          <w:szCs w:val="32"/>
          <w:lang w:val="en-US" w:eastAsia="zh-CN"/>
        </w:rPr>
        <w:t>厂界</w:t>
      </w:r>
      <w:r>
        <w:rPr>
          <w:rFonts w:hint="eastAsia" w:ascii="仿宋" w:hAnsi="仿宋" w:eastAsia="仿宋" w:cs="仿宋"/>
          <w:sz w:val="32"/>
          <w:szCs w:val="32"/>
          <w:lang w:val="zh-CN" w:eastAsia="zh-CN"/>
        </w:rPr>
        <w:t>排放口</w:t>
      </w:r>
      <w:r>
        <w:rPr>
          <w:rFonts w:hint="eastAsia" w:ascii="仿宋" w:hAnsi="仿宋" w:eastAsia="仿宋" w:cs="仿宋"/>
          <w:sz w:val="32"/>
          <w:szCs w:val="32"/>
          <w:lang w:val="en-US" w:eastAsia="zh-CN"/>
        </w:rPr>
        <w:t>中的</w:t>
      </w:r>
      <w:r>
        <w:rPr>
          <w:rFonts w:hint="eastAsia" w:ascii="仿宋" w:hAnsi="仿宋" w:eastAsia="仿宋" w:cs="仿宋"/>
          <w:sz w:val="32"/>
          <w:szCs w:val="32"/>
          <w:lang w:val="zh-CN" w:eastAsia="zh-CN"/>
        </w:rPr>
        <w:t>污水处理设施各池体进行全封闭，执行标准</w:t>
      </w:r>
      <w:r>
        <w:rPr>
          <w:rFonts w:hint="eastAsia" w:ascii="仿宋" w:hAnsi="仿宋" w:eastAsia="仿宋" w:cs="仿宋"/>
          <w:sz w:val="32"/>
          <w:szCs w:val="32"/>
          <w:lang w:val="en-US" w:eastAsia="zh-CN"/>
        </w:rPr>
        <w:t>为</w:t>
      </w:r>
      <w:r>
        <w:rPr>
          <w:rFonts w:hint="eastAsia" w:ascii="仿宋" w:hAnsi="仿宋" w:eastAsia="仿宋" w:cs="仿宋"/>
          <w:sz w:val="32"/>
          <w:szCs w:val="32"/>
          <w:lang w:val="zh-CN" w:eastAsia="zh-CN"/>
        </w:rPr>
        <w:t>《恶臭污染物排放标准》（GB14554-93）</w:t>
      </w:r>
      <w:r>
        <w:rPr>
          <w:rFonts w:hint="eastAsia" w:ascii="仿宋" w:hAnsi="仿宋" w:eastAsia="仿宋" w:cs="仿宋"/>
          <w:sz w:val="32"/>
          <w:szCs w:val="32"/>
          <w:lang w:val="en-US" w:eastAsia="zh-CN"/>
        </w:rPr>
        <w:t>表1恶臭污染物厂界标准值。</w:t>
      </w:r>
    </w:p>
    <w:p w14:paraId="44BBCD84">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2、地表水环境保护措施</w:t>
      </w:r>
    </w:p>
    <w:p w14:paraId="0141F980">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生产废水经厂内自建污水处理站处理排入汤旺县汤旺河污水处理厂、生活污水由城镇排水管网进入污水处理厂。</w:t>
      </w:r>
      <w:r>
        <w:rPr>
          <w:rFonts w:hint="eastAsia" w:ascii="仿宋" w:hAnsi="仿宋" w:eastAsia="仿宋" w:cs="仿宋"/>
          <w:sz w:val="32"/>
          <w:szCs w:val="32"/>
          <w:lang w:val="zh-CN" w:eastAsia="zh-CN"/>
        </w:rPr>
        <w:t>执行标准</w:t>
      </w:r>
      <w:r>
        <w:rPr>
          <w:rFonts w:hint="eastAsia" w:ascii="仿宋" w:hAnsi="仿宋" w:eastAsia="仿宋" w:cs="仿宋"/>
          <w:sz w:val="32"/>
          <w:szCs w:val="32"/>
          <w:lang w:val="en-US" w:eastAsia="zh-CN"/>
        </w:rPr>
        <w:t>为《污水综合排放标准》（GB8978-1996）三级标准。</w:t>
      </w:r>
    </w:p>
    <w:p w14:paraId="1C1F7AE6">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3、声环境保护措施</w:t>
      </w:r>
    </w:p>
    <w:p w14:paraId="36893884">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满足项目生产工艺的前提下选择低噪声设备，并加装减振垫，从源头上降低噪声；在满足生产的前提下综合考虑，设备布置时考虑声源方向性和车间噪声强弱等因素，进行合理布局，进一步降低厂界噪声，将设备安置在设备间内及远离厂界的位置，充分利用院内建筑物的隔声作用，减轻各类声源对周围环境的影响；加强设备的维护，确保设备处于良好的运转状态，杜绝因设备不正常运转时产生的高噪声现象；</w:t>
      </w:r>
      <w:r>
        <w:rPr>
          <w:rFonts w:hint="default" w:ascii="仿宋" w:hAnsi="仿宋" w:eastAsia="仿宋" w:cs="仿宋"/>
          <w:sz w:val="32"/>
          <w:szCs w:val="32"/>
          <w:lang w:val="en-US" w:eastAsia="zh-CN"/>
        </w:rPr>
        <w:t>各生产设备均位于生产车间内</w:t>
      </w:r>
      <w:r>
        <w:rPr>
          <w:rFonts w:hint="eastAsia" w:ascii="仿宋" w:hAnsi="仿宋" w:eastAsia="仿宋" w:cs="仿宋"/>
          <w:sz w:val="32"/>
          <w:szCs w:val="32"/>
          <w:lang w:val="en-US" w:eastAsia="zh-CN"/>
        </w:rPr>
        <w:t>，对高噪声设备加装减振基础。</w:t>
      </w:r>
      <w:r>
        <w:rPr>
          <w:rFonts w:hint="eastAsia" w:ascii="仿宋" w:hAnsi="仿宋" w:eastAsia="仿宋" w:cs="仿宋"/>
          <w:sz w:val="32"/>
          <w:szCs w:val="32"/>
          <w:lang w:val="zh-CN" w:eastAsia="zh-CN"/>
        </w:rPr>
        <w:t>执行标准</w:t>
      </w:r>
      <w:r>
        <w:rPr>
          <w:rFonts w:hint="eastAsia" w:ascii="仿宋" w:hAnsi="仿宋" w:eastAsia="仿宋" w:cs="仿宋"/>
          <w:sz w:val="32"/>
          <w:szCs w:val="32"/>
          <w:lang w:val="en-US" w:eastAsia="zh-CN"/>
        </w:rPr>
        <w:t>为</w:t>
      </w:r>
      <w:r>
        <w:rPr>
          <w:rFonts w:hint="default" w:ascii="仿宋" w:hAnsi="仿宋" w:eastAsia="仿宋" w:cs="仿宋"/>
          <w:sz w:val="32"/>
          <w:szCs w:val="32"/>
          <w:lang w:val="en-US" w:eastAsia="zh-CN"/>
        </w:rPr>
        <w:t>《工业企业厂界环境噪声排放标准》（GB12348-2008）中</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类标准限值要求</w:t>
      </w:r>
      <w:r>
        <w:rPr>
          <w:rFonts w:hint="eastAsia" w:ascii="仿宋" w:hAnsi="仿宋" w:eastAsia="仿宋" w:cs="仿宋"/>
          <w:sz w:val="32"/>
          <w:szCs w:val="32"/>
          <w:lang w:val="en-US" w:eastAsia="zh-CN"/>
        </w:rPr>
        <w:t>。</w:t>
      </w:r>
    </w:p>
    <w:p w14:paraId="30E0B0CA">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4、固体废物处置措施</w:t>
      </w:r>
    </w:p>
    <w:p w14:paraId="0393EEA4">
      <w:pPr>
        <w:pStyle w:val="14"/>
        <w:spacing w:line="360" w:lineRule="auto"/>
        <w:ind w:firstLineChars="200"/>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过滤产生的杂质统一收集，定期交由环卫部门处置；废弃包装统一收集，外售综合利用；</w:t>
      </w:r>
      <w:r>
        <w:rPr>
          <w:rFonts w:hint="default" w:ascii="仿宋" w:hAnsi="仿宋" w:eastAsia="仿宋" w:cs="仿宋"/>
          <w:kern w:val="2"/>
          <w:sz w:val="32"/>
          <w:szCs w:val="32"/>
          <w:lang w:val="en-US" w:eastAsia="zh-CN" w:bidi="ar-SA"/>
        </w:rPr>
        <w:t>生活垃圾</w:t>
      </w:r>
      <w:r>
        <w:rPr>
          <w:rFonts w:hint="eastAsia" w:ascii="仿宋" w:hAnsi="仿宋" w:eastAsia="仿宋" w:cs="仿宋"/>
          <w:kern w:val="2"/>
          <w:sz w:val="32"/>
          <w:szCs w:val="32"/>
          <w:lang w:val="en-US" w:eastAsia="zh-CN" w:bidi="ar-SA"/>
        </w:rPr>
        <w:t>集中收集</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定期交由环卫部门处置；</w:t>
      </w:r>
      <w:r>
        <w:rPr>
          <w:rFonts w:hint="default" w:ascii="仿宋" w:hAnsi="仿宋" w:eastAsia="仿宋" w:cs="仿宋"/>
          <w:kern w:val="2"/>
          <w:sz w:val="32"/>
          <w:szCs w:val="32"/>
          <w:lang w:val="en-US" w:eastAsia="zh-CN" w:bidi="ar-SA"/>
        </w:rPr>
        <w:t>污泥</w:t>
      </w:r>
      <w:r>
        <w:rPr>
          <w:rFonts w:hint="eastAsia" w:ascii="仿宋" w:hAnsi="仿宋" w:eastAsia="仿宋" w:cs="仿宋"/>
          <w:kern w:val="2"/>
          <w:sz w:val="32"/>
          <w:szCs w:val="32"/>
          <w:lang w:val="en-US" w:eastAsia="zh-CN" w:bidi="ar-SA"/>
        </w:rPr>
        <w:t>集中收集；</w:t>
      </w:r>
      <w:r>
        <w:rPr>
          <w:rFonts w:hint="default" w:ascii="仿宋" w:hAnsi="仿宋" w:eastAsia="仿宋" w:cs="仿宋"/>
          <w:kern w:val="2"/>
          <w:sz w:val="32"/>
          <w:szCs w:val="32"/>
          <w:lang w:val="en-US" w:eastAsia="zh-CN" w:bidi="ar-SA"/>
        </w:rPr>
        <w:t>废</w:t>
      </w:r>
      <w:r>
        <w:rPr>
          <w:rFonts w:hint="eastAsia" w:ascii="仿宋" w:hAnsi="仿宋" w:eastAsia="仿宋" w:cs="仿宋"/>
          <w:kern w:val="2"/>
          <w:sz w:val="32"/>
          <w:szCs w:val="32"/>
          <w:lang w:val="en-US" w:eastAsia="zh-CN" w:bidi="ar-SA"/>
        </w:rPr>
        <w:t>反</w:t>
      </w:r>
      <w:r>
        <w:rPr>
          <w:rFonts w:hint="default" w:ascii="仿宋" w:hAnsi="仿宋" w:eastAsia="仿宋" w:cs="仿宋"/>
          <w:kern w:val="2"/>
          <w:sz w:val="32"/>
          <w:szCs w:val="32"/>
          <w:lang w:val="en-US" w:eastAsia="zh-CN" w:bidi="ar-SA"/>
        </w:rPr>
        <w:t>渗透膜和废滤芯由供应厂家更换及回收</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废活性炭</w:t>
      </w:r>
      <w:r>
        <w:rPr>
          <w:rFonts w:hint="eastAsia" w:ascii="仿宋" w:hAnsi="仿宋" w:eastAsia="仿宋" w:cs="仿宋"/>
          <w:kern w:val="2"/>
          <w:sz w:val="32"/>
          <w:szCs w:val="32"/>
          <w:lang w:val="en-US" w:eastAsia="zh-CN" w:bidi="ar-SA"/>
        </w:rPr>
        <w:t>集中收集。</w:t>
      </w:r>
      <w:r>
        <w:rPr>
          <w:rFonts w:hint="eastAsia" w:ascii="仿宋" w:hAnsi="仿宋" w:eastAsia="仿宋" w:cs="仿宋"/>
          <w:sz w:val="32"/>
          <w:szCs w:val="32"/>
          <w:lang w:val="zh-CN" w:eastAsia="zh-CN"/>
        </w:rPr>
        <w:t>执行标准</w:t>
      </w:r>
      <w:r>
        <w:rPr>
          <w:rFonts w:hint="eastAsia" w:ascii="仿宋" w:hAnsi="仿宋" w:eastAsia="仿宋" w:cs="仿宋"/>
          <w:sz w:val="32"/>
          <w:szCs w:val="32"/>
          <w:lang w:val="en-US" w:eastAsia="zh-CN"/>
        </w:rPr>
        <w:t>为</w:t>
      </w:r>
      <w:r>
        <w:rPr>
          <w:rFonts w:hint="eastAsia" w:ascii="仿宋" w:hAnsi="仿宋" w:eastAsia="仿宋" w:cs="仿宋"/>
          <w:kern w:val="2"/>
          <w:sz w:val="32"/>
          <w:szCs w:val="32"/>
          <w:lang w:val="en-US" w:eastAsia="zh-CN" w:bidi="ar-SA"/>
        </w:rPr>
        <w:t>《一般工业固体废物贮存和填埋污染控制标准》（GB18599-2020）标准，处置率100%。</w:t>
      </w:r>
    </w:p>
    <w:p w14:paraId="1978FE1D">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（三）监测方案</w:t>
      </w:r>
    </w:p>
    <w:p w14:paraId="6889A07C">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严格按照环境影响评价中环境监测计划要求的监测类别、监测点位、监测因子、监测频次和执行标准对排放的污染物进行监测。</w:t>
      </w:r>
    </w:p>
    <w:p w14:paraId="7155F607">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b/>
          <w:bCs/>
          <w:sz w:val="32"/>
          <w:szCs w:val="32"/>
        </w:rPr>
      </w:pPr>
      <w:r>
        <w:rPr>
          <w:rFonts w:ascii="Times New Roman" w:hAnsi="Times New Roman" w:eastAsia="仿宋"/>
          <w:b/>
          <w:bCs/>
          <w:sz w:val="32"/>
          <w:szCs w:val="32"/>
        </w:rPr>
        <w:t>三、环境监管要求</w:t>
      </w:r>
    </w:p>
    <w:p w14:paraId="6B60F2B3">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建设单位要严格落实报告表提出的各项环保措施，由</w:t>
      </w:r>
      <w:r>
        <w:rPr>
          <w:rFonts w:hint="eastAsia" w:ascii="Times New Roman" w:hAnsi="Times New Roman" w:eastAsia="仿宋"/>
          <w:sz w:val="32"/>
          <w:szCs w:val="32"/>
          <w:lang w:val="en-US" w:eastAsia="zh-CN"/>
        </w:rPr>
        <w:t>汤旺</w:t>
      </w:r>
      <w:r>
        <w:rPr>
          <w:rFonts w:ascii="Times New Roman" w:hAnsi="Times New Roman" w:eastAsia="仿宋"/>
          <w:sz w:val="32"/>
          <w:szCs w:val="32"/>
        </w:rPr>
        <w:t>生态环境局对该项目的环境保护进行全程严格环境监督管理，确保该项目的环境保护措施全面落实。建成后，建设单位应当按照国务院环境保护行政主管部门规定的标准和程序，对配套建设的环境保护设施进行验收，编制验收报告并依法向社会公开验收报告，项目方可正式投入使用。</w:t>
      </w:r>
    </w:p>
    <w:p w14:paraId="2519A036">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报告表》经批准后，项目的性质、规模、地点或者防治污染的措施发生重大变动的，应当重新报批该项目的环境影响报告表。自环境影响报告表批复文件批准之日起，如超过5年方决定开工建设的，环境影响报告表应当重新审核。</w:t>
      </w:r>
    </w:p>
    <w:p w14:paraId="6AA571D8">
      <w:pPr>
        <w:keepNext w:val="0"/>
        <w:keepLines w:val="0"/>
        <w:pageBreakBefore w:val="0"/>
        <w:widowControl w:val="0"/>
        <w:kinsoku/>
        <w:wordWrap/>
        <w:overflowPunct/>
        <w:topLinePunct w:val="0"/>
        <w:bidi w:val="0"/>
        <w:spacing w:line="560" w:lineRule="exact"/>
        <w:ind w:firstLine="640" w:firstLineChars="200"/>
        <w:textAlignment w:val="auto"/>
      </w:pPr>
      <w:r>
        <w:rPr>
          <w:rFonts w:ascii="Times New Roman" w:hAnsi="Times New Roman" w:eastAsia="仿宋"/>
          <w:sz w:val="32"/>
          <w:szCs w:val="32"/>
        </w:rPr>
        <w:t>本批复仅说明该项目应符合的环境保护相关要求，项目建设单位在项目开工建设前应依法取得其他相关部门的合法批件，确保项目的建设实施符合相关法律法规的规定。</w:t>
      </w:r>
      <w:bookmarkStart w:id="1" w:name="_GoBack"/>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9C96D">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B15B">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ZTBiMzg0ZWI5ZGQ2ZjllMGVlOTI3MDA5NzdjOWYifQ=="/>
  </w:docVars>
  <w:rsids>
    <w:rsidRoot w:val="2B251EBB"/>
    <w:rsid w:val="104E655D"/>
    <w:rsid w:val="1191065F"/>
    <w:rsid w:val="2B251EBB"/>
    <w:rsid w:val="2E4A2BFD"/>
    <w:rsid w:val="364843C1"/>
    <w:rsid w:val="3AC96D26"/>
    <w:rsid w:val="3D872C69"/>
    <w:rsid w:val="4536433C"/>
    <w:rsid w:val="530C7B73"/>
    <w:rsid w:val="5474347B"/>
    <w:rsid w:val="598A2B5E"/>
    <w:rsid w:val="62DB5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11111"/>
    <w:basedOn w:val="1"/>
    <w:next w:val="1"/>
    <w:qFormat/>
    <w:uiPriority w:val="0"/>
    <w:pPr>
      <w:spacing w:line="360" w:lineRule="auto"/>
      <w:ind w:firstLine="200" w:firstLineChars="200"/>
    </w:pPr>
    <w:rPr>
      <w:rFonts w:ascii="宋体" w:hAnsi="宋体" w:cs="宋体"/>
      <w:sz w:val="24"/>
    </w:rPr>
  </w:style>
  <w:style w:type="paragraph" w:styleId="3">
    <w:name w:val="Body Text"/>
    <w:basedOn w:val="1"/>
    <w:next w:val="1"/>
    <w:qFormat/>
    <w:uiPriority w:val="0"/>
    <w:rPr>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left="420" w:leftChars="200"/>
    </w:p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
    <w:name w:val="Body Text First Indent"/>
    <w:basedOn w:val="3"/>
    <w:next w:val="1"/>
    <w:qFormat/>
    <w:uiPriority w:val="0"/>
    <w:pPr>
      <w:spacing w:after="120"/>
      <w:ind w:firstLine="420" w:firstLineChars="100"/>
    </w:pPr>
    <w:rPr>
      <w:sz w:val="21"/>
    </w:rPr>
  </w:style>
  <w:style w:type="character" w:styleId="11">
    <w:name w:val="page number"/>
    <w:qFormat/>
    <w:uiPriority w:val="0"/>
  </w:style>
  <w:style w:type="paragraph" w:customStyle="1" w:styleId="12">
    <w:name w:val="Default"/>
    <w:basedOn w:val="13"/>
    <w:next w:val="1"/>
    <w:autoRedefine/>
    <w:unhideWhenUsed/>
    <w:qFormat/>
    <w:uiPriority w:val="0"/>
    <w:pPr>
      <w:widowControl w:val="0"/>
      <w:autoSpaceDE w:val="0"/>
      <w:autoSpaceDN w:val="0"/>
    </w:pPr>
    <w:rPr>
      <w:rFonts w:hint="eastAsia" w:hAnsi="宋体"/>
      <w:color w:val="000000"/>
    </w:rPr>
  </w:style>
  <w:style w:type="paragraph" w:customStyle="1" w:styleId="13">
    <w:name w:val="纯文本1"/>
    <w:autoRedefine/>
    <w:qFormat/>
    <w:uiPriority w:val="0"/>
    <w:pPr>
      <w:adjustRightInd w:val="0"/>
      <w:jc w:val="center"/>
      <w:textAlignment w:val="baseline"/>
    </w:pPr>
    <w:rPr>
      <w:rFonts w:ascii="宋体" w:hAnsi="Courier New" w:eastAsia="宋体" w:cs="Times New Roman"/>
      <w:sz w:val="24"/>
      <w:lang w:val="en-US" w:eastAsia="zh-CN" w:bidi="ar-SA"/>
    </w:rPr>
  </w:style>
  <w:style w:type="paragraph" w:customStyle="1" w:styleId="14">
    <w:name w:val="【正文】"/>
    <w:basedOn w:val="1"/>
    <w:next w:val="7"/>
    <w:autoRedefine/>
    <w:qFormat/>
    <w:uiPriority w:val="0"/>
    <w:pPr>
      <w:ind w:firstLine="48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1938</Words>
  <Characters>1986</Characters>
  <Lines>0</Lines>
  <Paragraphs>0</Paragraphs>
  <TotalTime>0</TotalTime>
  <ScaleCrop>false</ScaleCrop>
  <LinksUpToDate>false</LinksUpToDate>
  <CharactersWithSpaces>2019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2024-08-12T07:52:00Z</dcterms:created>
  <dc:creator>唐人街的教堂丶</dc:creator>
  <cp:lastModifiedBy>唐人街的教堂丶</cp:lastModifiedBy>
  <cp:lastPrinted>2025-03-25T07:47:00Z</cp:lastPrinted>
  <dcterms:modified xsi:type="dcterms:W3CDTF">2025-06-13T06:16:02Z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83694212556C41E38CD65CBB6ECF9D81_13</vt:lpwstr>
  </property>
  <property fmtid="{D5CDD505-2E9C-101B-9397-08002B2CF9AE}" pid="4" name="KSOTemplateDocerSaveRecord">
    <vt:lpwstr>eyJoZGlkIjoiMmUwZTBiMzg0ZWI5ZGQ2ZjllMGVlOTI3MDA5NzdjOWYiLCJ1c2VySWQiOiIyNjI0MjkwNzUifQ==</vt:lpwstr>
  </property>
</Properties>
</file>