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53C7F">
      <w:pPr>
        <w:spacing w:before="143" w:line="219" w:lineRule="auto"/>
        <w:ind w:left="746"/>
        <w:jc w:val="center"/>
        <w:rPr>
          <w:rFonts w:hint="eastAsia" w:ascii="宋体" w:hAnsi="宋体" w:eastAsia="宋体" w:cs="宋体"/>
          <w:b/>
          <w:bCs/>
          <w:spacing w:val="-8"/>
          <w:sz w:val="44"/>
          <w:szCs w:val="44"/>
          <w:lang w:val="en-US" w:eastAsia="zh-CN"/>
        </w:rPr>
      </w:pPr>
    </w:p>
    <w:p w14:paraId="07BD5D78">
      <w:pPr>
        <w:spacing w:before="143" w:line="219" w:lineRule="auto"/>
        <w:ind w:left="746"/>
        <w:jc w:val="center"/>
        <w:rPr>
          <w:rFonts w:ascii="宋体" w:hAnsi="宋体" w:eastAsia="宋体" w:cs="宋体"/>
          <w:b/>
          <w:bCs/>
          <w:spacing w:val="-8"/>
          <w:sz w:val="44"/>
          <w:szCs w:val="44"/>
        </w:rPr>
      </w:pPr>
      <w:r>
        <w:rPr>
          <w:rFonts w:hint="eastAsia" w:ascii="宋体" w:hAnsi="宋体" w:eastAsia="宋体" w:cs="宋体"/>
          <w:b/>
          <w:bCs/>
          <w:spacing w:val="-8"/>
          <w:sz w:val="44"/>
          <w:szCs w:val="44"/>
          <w:lang w:val="en-US" w:eastAsia="zh-CN"/>
        </w:rPr>
        <w:t>汤旺县县级</w:t>
      </w:r>
      <w:r>
        <w:rPr>
          <w:rFonts w:ascii="宋体" w:hAnsi="宋体" w:eastAsia="宋体" w:cs="宋体"/>
          <w:b/>
          <w:bCs/>
          <w:spacing w:val="-8"/>
          <w:sz w:val="44"/>
          <w:szCs w:val="44"/>
        </w:rPr>
        <w:t>国有资本经营预算管理办法</w:t>
      </w:r>
    </w:p>
    <w:p w14:paraId="69C88BC6">
      <w:pPr>
        <w:spacing w:before="299" w:line="263" w:lineRule="auto"/>
        <w:ind w:right="19"/>
        <w:rPr>
          <w:rFonts w:hint="eastAsia" w:ascii="仿宋" w:hAnsi="仿宋" w:eastAsia="仿宋" w:cs="仿宋"/>
          <w:spacing w:val="9"/>
          <w:sz w:val="30"/>
          <w:szCs w:val="30"/>
          <w:lang w:val="en-US" w:eastAsia="zh-CN"/>
        </w:rPr>
      </w:pPr>
    </w:p>
    <w:p w14:paraId="046435E4">
      <w:pPr>
        <w:spacing w:before="299" w:line="263" w:lineRule="auto"/>
        <w:ind w:right="19"/>
        <w:rPr>
          <w:rFonts w:hint="eastAsia" w:ascii="仿宋" w:hAnsi="仿宋" w:eastAsia="仿宋" w:cs="仿宋"/>
          <w:spacing w:val="9"/>
          <w:sz w:val="30"/>
          <w:szCs w:val="30"/>
          <w:lang w:val="en-US" w:eastAsia="zh-CN"/>
        </w:rPr>
      </w:pPr>
      <w:r>
        <w:rPr>
          <w:rFonts w:hint="eastAsia" w:ascii="仿宋" w:hAnsi="仿宋" w:eastAsia="仿宋" w:cs="仿宋"/>
          <w:spacing w:val="9"/>
          <w:sz w:val="30"/>
          <w:szCs w:val="30"/>
          <w:lang w:val="en-US" w:eastAsia="zh-CN"/>
        </w:rPr>
        <w:t>有关县级部门、县级企业：</w:t>
      </w:r>
    </w:p>
    <w:p w14:paraId="281A7D2C">
      <w:pPr>
        <w:spacing w:before="299" w:line="263" w:lineRule="auto"/>
        <w:ind w:right="19" w:firstLine="624" w:firstLineChars="200"/>
        <w:rPr>
          <w:rFonts w:ascii="Arial" w:hAnsi="Arial" w:eastAsia="Arial" w:cs="Arial"/>
          <w:snapToGrid w:val="0"/>
          <w:color w:val="000000"/>
          <w:kern w:val="0"/>
          <w:sz w:val="21"/>
          <w:szCs w:val="21"/>
          <w:lang w:val="en-US" w:eastAsia="en-US" w:bidi="ar-SA"/>
        </w:rPr>
      </w:pPr>
      <w:r>
        <w:rPr>
          <w:rFonts w:ascii="仿宋" w:hAnsi="仿宋" w:eastAsia="仿宋" w:cs="仿宋"/>
          <w:spacing w:val="6"/>
          <w:sz w:val="30"/>
          <w:szCs w:val="30"/>
        </w:rPr>
        <w:t>现将《</w:t>
      </w:r>
      <w:r>
        <w:rPr>
          <w:rFonts w:hint="eastAsia" w:ascii="仿宋" w:hAnsi="仿宋" w:eastAsia="仿宋" w:cs="仿宋"/>
          <w:spacing w:val="6"/>
          <w:sz w:val="30"/>
          <w:szCs w:val="30"/>
          <w:lang w:val="en-US" w:eastAsia="zh-CN"/>
        </w:rPr>
        <w:t>汤旺县县</w:t>
      </w:r>
      <w:r>
        <w:rPr>
          <w:rFonts w:ascii="仿宋" w:hAnsi="仿宋" w:eastAsia="仿宋" w:cs="仿宋"/>
          <w:spacing w:val="6"/>
          <w:sz w:val="30"/>
          <w:szCs w:val="30"/>
        </w:rPr>
        <w:t>级国有资本经营预算管理办法》印发给你们</w:t>
      </w:r>
      <w:r>
        <w:rPr>
          <w:rFonts w:hint="eastAsia" w:ascii="仿宋" w:hAnsi="仿宋" w:eastAsia="仿宋" w:cs="仿宋"/>
          <w:spacing w:val="6"/>
          <w:sz w:val="30"/>
          <w:szCs w:val="30"/>
          <w:lang w:eastAsia="zh-CN"/>
        </w:rPr>
        <w:t>，</w:t>
      </w:r>
      <w:r>
        <w:rPr>
          <w:rFonts w:ascii="仿宋" w:hAnsi="仿宋" w:eastAsia="仿宋" w:cs="仿宋"/>
          <w:spacing w:val="3"/>
          <w:sz w:val="30"/>
          <w:szCs w:val="30"/>
        </w:rPr>
        <w:t>请遵照执行</w:t>
      </w:r>
      <w:r>
        <w:rPr>
          <w:rFonts w:hint="eastAsia" w:ascii="仿宋" w:hAnsi="仿宋" w:eastAsia="仿宋" w:cs="仿宋"/>
          <w:spacing w:val="3"/>
          <w:sz w:val="30"/>
          <w:szCs w:val="30"/>
          <w:lang w:eastAsia="zh-CN"/>
        </w:rPr>
        <w:t>。</w:t>
      </w:r>
    </w:p>
    <w:p w14:paraId="1A32914A">
      <w:pPr>
        <w:spacing w:before="95" w:line="222" w:lineRule="auto"/>
        <w:jc w:val="center"/>
        <w:outlineLvl w:val="2"/>
        <w:rPr>
          <w:rFonts w:ascii="黑体" w:hAnsi="黑体" w:eastAsia="黑体" w:cs="黑体"/>
          <w:sz w:val="29"/>
          <w:szCs w:val="29"/>
        </w:rPr>
      </w:pPr>
      <w:r>
        <w:rPr>
          <w:rFonts w:ascii="黑体" w:hAnsi="黑体" w:eastAsia="黑体" w:cs="黑体"/>
          <w:b/>
          <w:bCs/>
          <w:spacing w:val="4"/>
          <w:sz w:val="29"/>
          <w:szCs w:val="29"/>
        </w:rPr>
        <w:t>第一章</w:t>
      </w:r>
      <w:r>
        <w:rPr>
          <w:rFonts w:ascii="黑体" w:hAnsi="黑体" w:eastAsia="黑体" w:cs="黑体"/>
          <w:spacing w:val="18"/>
          <w:sz w:val="29"/>
          <w:szCs w:val="29"/>
        </w:rPr>
        <w:t xml:space="preserve">  </w:t>
      </w:r>
      <w:r>
        <w:rPr>
          <w:rFonts w:ascii="黑体" w:hAnsi="黑体" w:eastAsia="黑体" w:cs="黑体"/>
          <w:b/>
          <w:bCs/>
          <w:spacing w:val="4"/>
          <w:sz w:val="29"/>
          <w:szCs w:val="29"/>
        </w:rPr>
        <w:t>总</w:t>
      </w:r>
      <w:r>
        <w:rPr>
          <w:rFonts w:ascii="黑体" w:hAnsi="黑体" w:eastAsia="黑体" w:cs="黑体"/>
          <w:spacing w:val="-57"/>
          <w:sz w:val="29"/>
          <w:szCs w:val="29"/>
        </w:rPr>
        <w:t xml:space="preserve"> </w:t>
      </w:r>
      <w:r>
        <w:rPr>
          <w:rFonts w:ascii="黑体" w:hAnsi="黑体" w:eastAsia="黑体" w:cs="黑体"/>
          <w:b/>
          <w:bCs/>
          <w:spacing w:val="4"/>
          <w:sz w:val="29"/>
          <w:szCs w:val="29"/>
        </w:rPr>
        <w:t>则</w:t>
      </w:r>
    </w:p>
    <w:p w14:paraId="437345CC">
      <w:pPr>
        <w:spacing w:before="101" w:line="318" w:lineRule="auto"/>
        <w:ind w:firstLine="644"/>
        <w:rPr>
          <w:rFonts w:hint="default" w:ascii="仿宋" w:hAnsi="仿宋" w:eastAsia="仿宋" w:cs="仿宋"/>
          <w:spacing w:val="17"/>
          <w:sz w:val="31"/>
          <w:szCs w:val="31"/>
          <w:lang w:val="en-US" w:eastAsia="zh-CN"/>
        </w:rPr>
      </w:pPr>
      <w:r>
        <w:rPr>
          <w:rFonts w:hint="eastAsia" w:ascii="仿宋" w:hAnsi="仿宋" w:eastAsia="仿宋" w:cs="仿宋"/>
          <w:b/>
          <w:bCs/>
          <w:spacing w:val="17"/>
          <w:sz w:val="31"/>
          <w:szCs w:val="31"/>
          <w:lang w:val="en-US" w:eastAsia="zh-CN"/>
        </w:rPr>
        <w:t>第一条</w:t>
      </w:r>
      <w:r>
        <w:rPr>
          <w:rFonts w:hint="eastAsia" w:ascii="仿宋" w:hAnsi="仿宋" w:eastAsia="仿宋" w:cs="仿宋"/>
          <w:spacing w:val="17"/>
          <w:sz w:val="31"/>
          <w:szCs w:val="31"/>
          <w:lang w:val="en-US" w:eastAsia="zh-CN"/>
        </w:rPr>
        <w:t xml:space="preserve"> </w:t>
      </w:r>
      <w:r>
        <w:rPr>
          <w:rFonts w:ascii="仿宋" w:hAnsi="仿宋" w:eastAsia="仿宋" w:cs="仿宋"/>
          <w:spacing w:val="17"/>
          <w:sz w:val="31"/>
          <w:szCs w:val="31"/>
        </w:rPr>
        <w:t>为进一步完善国有资本经营预算管理，根据</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rPr>
        <w:t>中华人民共和国预算法</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rPr>
        <w:t>中华人民共和国预算法实施条例</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rPr>
        <w:t>中华人民共和国企业国有资产法</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rPr>
        <w:t>《国务院关于进一步完善国有资本经营预算制度的意见》</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rPr>
        <w:t>国发〔2024〕2号</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rPr>
        <w:t>《黑龙江省人民政府关于实行国有资本经营预算的意见》(黑政发〔2011〕84号)《黑龙江省关于进一步完善国有资本经营预算制度的实施意见》(黑政发  〔2024〕11号</w:t>
      </w:r>
      <w:r>
        <w:rPr>
          <w:rFonts w:hint="eastAsia" w:ascii="仿宋" w:hAnsi="仿宋" w:eastAsia="仿宋" w:cs="仿宋"/>
          <w:spacing w:val="17"/>
          <w:sz w:val="31"/>
          <w:szCs w:val="31"/>
          <w:lang w:val="en-US" w:eastAsia="zh-CN"/>
        </w:rPr>
        <w:t>)</w:t>
      </w:r>
      <w:r>
        <w:rPr>
          <w:rFonts w:hint="eastAsia" w:ascii="仿宋" w:hAnsi="仿宋" w:eastAsia="仿宋" w:cs="仿宋"/>
          <w:spacing w:val="17"/>
          <w:sz w:val="31"/>
          <w:szCs w:val="31"/>
        </w:rPr>
        <w:t>《黑龙江省省级国有资本经营预算管理办法》(黑财规〔2024〕19号)</w:t>
      </w:r>
      <w:r>
        <w:rPr>
          <w:rFonts w:hint="eastAsia" w:ascii="仿宋" w:hAnsi="仿宋" w:eastAsia="仿宋" w:cs="仿宋"/>
          <w:spacing w:val="17"/>
          <w:sz w:val="31"/>
          <w:szCs w:val="31"/>
          <w:lang w:val="en-US" w:eastAsia="zh-CN"/>
        </w:rPr>
        <w:t>以及</w:t>
      </w:r>
      <w:r>
        <w:rPr>
          <w:rFonts w:hint="eastAsia" w:ascii="仿宋" w:hAnsi="仿宋" w:eastAsia="仿宋" w:cs="仿宋"/>
          <w:spacing w:val="17"/>
          <w:sz w:val="31"/>
          <w:szCs w:val="31"/>
          <w:lang w:eastAsia="zh-CN"/>
        </w:rPr>
        <w:t>《</w:t>
      </w:r>
      <w:r>
        <w:rPr>
          <w:rFonts w:ascii="仿宋" w:hAnsi="仿宋" w:eastAsia="仿宋" w:cs="仿宋"/>
          <w:spacing w:val="17"/>
          <w:sz w:val="31"/>
          <w:szCs w:val="31"/>
        </w:rPr>
        <w:t>伊春市市级国有资本经营预算管理办法</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rPr>
        <w:t>(</w:t>
      </w:r>
      <w:r>
        <w:rPr>
          <w:rFonts w:hint="eastAsia" w:ascii="仿宋" w:hAnsi="仿宋" w:eastAsia="仿宋" w:cs="仿宋"/>
          <w:spacing w:val="17"/>
          <w:sz w:val="31"/>
          <w:szCs w:val="31"/>
          <w:lang w:val="en-US" w:eastAsia="zh-CN"/>
        </w:rPr>
        <w:t>伊</w:t>
      </w:r>
      <w:r>
        <w:rPr>
          <w:rFonts w:hint="eastAsia" w:ascii="仿宋" w:hAnsi="仿宋" w:eastAsia="仿宋" w:cs="仿宋"/>
          <w:spacing w:val="17"/>
          <w:sz w:val="31"/>
          <w:szCs w:val="31"/>
        </w:rPr>
        <w:t>财规〔2024〕</w:t>
      </w:r>
      <w:r>
        <w:rPr>
          <w:rFonts w:hint="eastAsia" w:ascii="仿宋" w:hAnsi="仿宋" w:eastAsia="仿宋" w:cs="仿宋"/>
          <w:spacing w:val="17"/>
          <w:sz w:val="31"/>
          <w:szCs w:val="31"/>
          <w:lang w:val="en-US" w:eastAsia="zh-CN"/>
        </w:rPr>
        <w:t>2</w:t>
      </w:r>
      <w:r>
        <w:rPr>
          <w:rFonts w:hint="eastAsia" w:ascii="仿宋" w:hAnsi="仿宋" w:eastAsia="仿宋" w:cs="仿宋"/>
          <w:spacing w:val="17"/>
          <w:sz w:val="31"/>
          <w:szCs w:val="31"/>
        </w:rPr>
        <w:t>号)</w:t>
      </w:r>
      <w:r>
        <w:rPr>
          <w:rFonts w:hint="eastAsia" w:ascii="仿宋" w:hAnsi="仿宋" w:eastAsia="仿宋" w:cs="仿宋"/>
          <w:spacing w:val="17"/>
          <w:sz w:val="31"/>
          <w:szCs w:val="31"/>
          <w:lang w:val="en-US" w:eastAsia="zh-CN"/>
        </w:rPr>
        <w:t>等规定特制定本办法。</w:t>
      </w:r>
    </w:p>
    <w:p w14:paraId="1FFC205A">
      <w:pPr>
        <w:spacing w:before="101" w:line="318" w:lineRule="auto"/>
        <w:ind w:firstLine="644"/>
        <w:rPr>
          <w:rFonts w:ascii="仿宋" w:hAnsi="仿宋" w:eastAsia="仿宋" w:cs="仿宋"/>
          <w:spacing w:val="17"/>
          <w:sz w:val="31"/>
          <w:szCs w:val="31"/>
        </w:rPr>
      </w:pPr>
      <w:r>
        <w:rPr>
          <w:rFonts w:ascii="仿宋" w:hAnsi="仿宋" w:eastAsia="仿宋" w:cs="仿宋"/>
          <w:b/>
          <w:bCs/>
          <w:spacing w:val="17"/>
          <w:sz w:val="31"/>
          <w:szCs w:val="31"/>
        </w:rPr>
        <w:t>第二条</w:t>
      </w:r>
      <w:r>
        <w:rPr>
          <w:rFonts w:hint="eastAsia" w:ascii="仿宋" w:hAnsi="仿宋" w:eastAsia="仿宋" w:cs="仿宋"/>
          <w:spacing w:val="17"/>
          <w:sz w:val="31"/>
          <w:szCs w:val="31"/>
          <w:lang w:val="en-US" w:eastAsia="zh-CN"/>
        </w:rPr>
        <w:t xml:space="preserve"> </w:t>
      </w:r>
      <w:r>
        <w:rPr>
          <w:rFonts w:ascii="仿宋" w:hAnsi="仿宋" w:eastAsia="仿宋" w:cs="仿宋"/>
          <w:spacing w:val="17"/>
          <w:sz w:val="31"/>
          <w:szCs w:val="31"/>
        </w:rPr>
        <w:t>本办法适用于</w:t>
      </w:r>
      <w:r>
        <w:rPr>
          <w:rFonts w:hint="eastAsia" w:ascii="仿宋" w:hAnsi="仿宋" w:eastAsia="仿宋" w:cs="仿宋"/>
          <w:spacing w:val="17"/>
          <w:sz w:val="31"/>
          <w:szCs w:val="31"/>
          <w:lang w:val="en-US" w:eastAsia="zh-CN"/>
        </w:rPr>
        <w:t>县级</w:t>
      </w:r>
      <w:r>
        <w:rPr>
          <w:rFonts w:ascii="仿宋" w:hAnsi="仿宋" w:eastAsia="仿宋" w:cs="仿宋"/>
          <w:spacing w:val="17"/>
          <w:sz w:val="31"/>
          <w:szCs w:val="31"/>
        </w:rPr>
        <w:t>国有资本经营预算的编制</w:t>
      </w:r>
      <w:r>
        <w:rPr>
          <w:rFonts w:hint="eastAsia" w:ascii="仿宋" w:hAnsi="仿宋" w:eastAsia="仿宋" w:cs="仿宋"/>
          <w:spacing w:val="17"/>
          <w:sz w:val="31"/>
          <w:szCs w:val="31"/>
          <w:lang w:eastAsia="zh-CN"/>
        </w:rPr>
        <w:t>、</w:t>
      </w:r>
      <w:r>
        <w:rPr>
          <w:rFonts w:ascii="仿宋" w:hAnsi="仿宋" w:eastAsia="仿宋" w:cs="仿宋"/>
          <w:spacing w:val="17"/>
          <w:sz w:val="31"/>
          <w:szCs w:val="31"/>
        </w:rPr>
        <w:t>执行、 调整</w:t>
      </w:r>
      <w:r>
        <w:rPr>
          <w:rFonts w:hint="eastAsia" w:ascii="仿宋" w:hAnsi="仿宋" w:eastAsia="仿宋" w:cs="仿宋"/>
          <w:spacing w:val="17"/>
          <w:sz w:val="31"/>
          <w:szCs w:val="31"/>
          <w:lang w:eastAsia="zh-CN"/>
        </w:rPr>
        <w:t>、</w:t>
      </w:r>
      <w:r>
        <w:rPr>
          <w:rFonts w:ascii="仿宋" w:hAnsi="仿宋" w:eastAsia="仿宋" w:cs="仿宋"/>
          <w:spacing w:val="17"/>
          <w:sz w:val="31"/>
          <w:szCs w:val="31"/>
        </w:rPr>
        <w:t>决算、绩效管理与监督检查等预算管理活动。</w:t>
      </w:r>
    </w:p>
    <w:p w14:paraId="0DD23AAA">
      <w:pPr>
        <w:spacing w:before="101" w:line="318" w:lineRule="auto"/>
        <w:ind w:firstLine="644"/>
        <w:rPr>
          <w:rFonts w:hint="eastAsia" w:ascii="仿宋" w:hAnsi="仿宋" w:eastAsia="仿宋" w:cs="仿宋"/>
          <w:spacing w:val="17"/>
          <w:sz w:val="31"/>
          <w:szCs w:val="31"/>
          <w:lang w:val="en-US" w:eastAsia="zh-CN"/>
        </w:rPr>
      </w:pPr>
      <w:r>
        <w:rPr>
          <w:rFonts w:ascii="仿宋" w:hAnsi="仿宋" w:eastAsia="仿宋" w:cs="仿宋"/>
          <w:b/>
          <w:bCs/>
          <w:spacing w:val="17"/>
          <w:sz w:val="31"/>
          <w:szCs w:val="31"/>
        </w:rPr>
        <w:t>第三条</w:t>
      </w:r>
      <w:r>
        <w:rPr>
          <w:rFonts w:hint="eastAsia" w:ascii="仿宋" w:hAnsi="仿宋" w:eastAsia="仿宋" w:cs="仿宋"/>
          <w:spacing w:val="17"/>
          <w:sz w:val="31"/>
          <w:szCs w:val="31"/>
          <w:lang w:val="en-US" w:eastAsia="zh-CN"/>
        </w:rPr>
        <w:t xml:space="preserve"> 县级</w:t>
      </w:r>
      <w:r>
        <w:rPr>
          <w:rFonts w:ascii="仿宋" w:hAnsi="仿宋" w:eastAsia="仿宋" w:cs="仿宋"/>
          <w:spacing w:val="17"/>
          <w:sz w:val="31"/>
          <w:szCs w:val="31"/>
        </w:rPr>
        <w:t>国有资本经营预算保持完整独立，并与一般公共预算相衔接，应当按照收支平衡的原则编制</w:t>
      </w:r>
      <w:r>
        <w:rPr>
          <w:rFonts w:hint="eastAsia" w:ascii="仿宋" w:hAnsi="仿宋" w:eastAsia="仿宋" w:cs="仿宋"/>
          <w:spacing w:val="17"/>
          <w:sz w:val="31"/>
          <w:szCs w:val="31"/>
          <w:lang w:eastAsia="zh-CN"/>
        </w:rPr>
        <w:t>，</w:t>
      </w:r>
      <w:r>
        <w:rPr>
          <w:rFonts w:ascii="仿宋" w:hAnsi="仿宋" w:eastAsia="仿宋" w:cs="仿宋"/>
          <w:spacing w:val="17"/>
          <w:sz w:val="31"/>
          <w:szCs w:val="31"/>
        </w:rPr>
        <w:t>以收定支，不列</w:t>
      </w:r>
      <w:r>
        <w:rPr>
          <w:rFonts w:hint="eastAsia" w:ascii="仿宋" w:hAnsi="仿宋" w:eastAsia="仿宋" w:cs="仿宋"/>
          <w:spacing w:val="17"/>
          <w:sz w:val="31"/>
          <w:szCs w:val="31"/>
          <w:lang w:val="en-US" w:eastAsia="zh-CN"/>
        </w:rPr>
        <w:t>赤字。</w:t>
      </w:r>
    </w:p>
    <w:p w14:paraId="574F902D">
      <w:pPr>
        <w:spacing w:before="101" w:line="318" w:lineRule="auto"/>
        <w:ind w:firstLine="644"/>
        <w:rPr>
          <w:rFonts w:ascii="仿宋" w:hAnsi="仿宋" w:eastAsia="仿宋" w:cs="仿宋"/>
          <w:spacing w:val="17"/>
          <w:sz w:val="31"/>
          <w:szCs w:val="31"/>
        </w:rPr>
      </w:pPr>
      <w:r>
        <w:rPr>
          <w:rFonts w:hint="eastAsia" w:ascii="仿宋" w:hAnsi="仿宋" w:eastAsia="仿宋" w:cs="仿宋"/>
          <w:b/>
          <w:bCs/>
          <w:spacing w:val="17"/>
          <w:sz w:val="31"/>
          <w:szCs w:val="31"/>
          <w:lang w:val="en-US" w:eastAsia="zh-CN"/>
        </w:rPr>
        <w:t>第四条</w:t>
      </w:r>
      <w:r>
        <w:rPr>
          <w:rFonts w:hint="eastAsia" w:ascii="仿宋" w:hAnsi="仿宋" w:eastAsia="仿宋" w:cs="仿宋"/>
          <w:spacing w:val="17"/>
          <w:sz w:val="31"/>
          <w:szCs w:val="31"/>
          <w:lang w:val="en-US" w:eastAsia="zh-CN"/>
        </w:rPr>
        <w:t xml:space="preserve"> 县级</w:t>
      </w:r>
      <w:r>
        <w:rPr>
          <w:rFonts w:ascii="仿宋" w:hAnsi="仿宋" w:eastAsia="仿宋" w:cs="仿宋"/>
          <w:spacing w:val="17"/>
          <w:sz w:val="31"/>
          <w:szCs w:val="31"/>
        </w:rPr>
        <w:t>国有资本经营预算由预算收入和预算支出组成。</w:t>
      </w:r>
    </w:p>
    <w:p w14:paraId="4C858331">
      <w:pPr>
        <w:spacing w:before="101" w:line="318" w:lineRule="auto"/>
        <w:ind w:firstLine="644"/>
        <w:rPr>
          <w:rFonts w:ascii="仿宋" w:hAnsi="仿宋" w:eastAsia="仿宋" w:cs="仿宋"/>
          <w:spacing w:val="17"/>
          <w:sz w:val="31"/>
          <w:szCs w:val="31"/>
        </w:rPr>
      </w:pPr>
      <w:r>
        <w:rPr>
          <w:rFonts w:hint="eastAsia" w:ascii="仿宋" w:hAnsi="仿宋" w:eastAsia="仿宋" w:cs="仿宋"/>
          <w:b/>
          <w:bCs/>
          <w:spacing w:val="17"/>
          <w:sz w:val="31"/>
          <w:szCs w:val="31"/>
          <w:lang w:val="en-US" w:eastAsia="zh-CN"/>
        </w:rPr>
        <w:t>第五条</w:t>
      </w:r>
      <w:r>
        <w:rPr>
          <w:rFonts w:hint="eastAsia" w:ascii="仿宋" w:hAnsi="仿宋" w:eastAsia="仿宋" w:cs="仿宋"/>
          <w:spacing w:val="17"/>
          <w:sz w:val="31"/>
          <w:szCs w:val="31"/>
          <w:lang w:val="en-US" w:eastAsia="zh-CN"/>
        </w:rPr>
        <w:t xml:space="preserve"> </w:t>
      </w:r>
      <w:r>
        <w:rPr>
          <w:rFonts w:ascii="仿宋" w:hAnsi="仿宋" w:eastAsia="仿宋" w:cs="仿宋"/>
          <w:spacing w:val="17"/>
          <w:sz w:val="31"/>
          <w:szCs w:val="31"/>
        </w:rPr>
        <w:t>国有资本经营预算应当按照国家宏观</w:t>
      </w:r>
      <w:r>
        <w:rPr>
          <w:rFonts w:hint="eastAsia" w:ascii="仿宋" w:hAnsi="仿宋" w:eastAsia="仿宋" w:cs="仿宋"/>
          <w:spacing w:val="17"/>
          <w:sz w:val="31"/>
          <w:szCs w:val="31"/>
          <w:lang w:val="en-US" w:eastAsia="zh-CN"/>
        </w:rPr>
        <w:t>经济</w:t>
      </w:r>
      <w:r>
        <w:rPr>
          <w:rFonts w:ascii="仿宋" w:hAnsi="仿宋" w:eastAsia="仿宋" w:cs="仿宋"/>
          <w:spacing w:val="17"/>
          <w:sz w:val="31"/>
          <w:szCs w:val="31"/>
        </w:rPr>
        <w:t>政策、省委、省政府以及市委、市政府</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县委、县政府</w:t>
      </w:r>
      <w:r>
        <w:rPr>
          <w:rFonts w:ascii="仿宋" w:hAnsi="仿宋" w:eastAsia="仿宋" w:cs="仿宋"/>
          <w:spacing w:val="17"/>
          <w:sz w:val="31"/>
          <w:szCs w:val="31"/>
        </w:rPr>
        <w:t>决策部署及中期财政规划要求，实行滚动编制。</w:t>
      </w:r>
    </w:p>
    <w:p w14:paraId="697CCB8E">
      <w:pPr>
        <w:spacing w:before="101" w:line="318" w:lineRule="auto"/>
        <w:ind w:firstLine="644"/>
        <w:rPr>
          <w:rFonts w:hint="eastAsia" w:ascii="仿宋" w:hAnsi="仿宋" w:eastAsia="仿宋" w:cs="仿宋"/>
          <w:spacing w:val="17"/>
          <w:sz w:val="31"/>
          <w:szCs w:val="31"/>
          <w:lang w:eastAsia="zh-CN"/>
        </w:rPr>
      </w:pPr>
      <w:r>
        <w:rPr>
          <w:rFonts w:ascii="仿宋" w:hAnsi="仿宋" w:eastAsia="仿宋" w:cs="仿宋"/>
          <w:b/>
          <w:bCs/>
          <w:spacing w:val="17"/>
          <w:sz w:val="31"/>
          <w:szCs w:val="31"/>
        </w:rPr>
        <w:t>第六条</w:t>
      </w:r>
      <w:r>
        <w:rPr>
          <w:rFonts w:ascii="仿宋" w:hAnsi="仿宋" w:eastAsia="仿宋" w:cs="仿宋"/>
          <w:spacing w:val="17"/>
          <w:sz w:val="31"/>
          <w:szCs w:val="31"/>
        </w:rPr>
        <w:t xml:space="preserve"> 由</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级政府直接管理的国有资本，由</w:t>
      </w:r>
      <w:r>
        <w:rPr>
          <w:rFonts w:hint="eastAsia" w:ascii="仿宋" w:hAnsi="仿宋" w:eastAsia="仿宋" w:cs="仿宋"/>
          <w:spacing w:val="17"/>
          <w:sz w:val="31"/>
          <w:szCs w:val="31"/>
          <w:lang w:val="en-US" w:eastAsia="zh-CN"/>
        </w:rPr>
        <w:t>县级政</w:t>
      </w:r>
      <w:r>
        <w:rPr>
          <w:rFonts w:ascii="仿宋" w:hAnsi="仿宋" w:eastAsia="仿宋" w:cs="仿宋"/>
          <w:spacing w:val="17"/>
          <w:sz w:val="31"/>
          <w:szCs w:val="31"/>
        </w:rPr>
        <w:t>府授权的机构</w:t>
      </w:r>
      <w:r>
        <w:rPr>
          <w:rFonts w:hint="eastAsia" w:ascii="仿宋" w:hAnsi="仿宋" w:eastAsia="仿宋" w:cs="仿宋"/>
          <w:spacing w:val="17"/>
          <w:sz w:val="31"/>
          <w:szCs w:val="31"/>
          <w:lang w:eastAsia="zh-CN"/>
        </w:rPr>
        <w:t>（</w:t>
      </w:r>
      <w:r>
        <w:rPr>
          <w:rFonts w:ascii="仿宋" w:hAnsi="仿宋" w:eastAsia="仿宋" w:cs="仿宋"/>
          <w:spacing w:val="17"/>
          <w:sz w:val="31"/>
          <w:szCs w:val="31"/>
        </w:rPr>
        <w:t>部门</w:t>
      </w:r>
      <w:r>
        <w:rPr>
          <w:rFonts w:hint="eastAsia" w:ascii="仿宋" w:hAnsi="仿宋" w:eastAsia="仿宋" w:cs="仿宋"/>
          <w:spacing w:val="17"/>
          <w:sz w:val="31"/>
          <w:szCs w:val="31"/>
          <w:lang w:eastAsia="zh-CN"/>
        </w:rPr>
        <w:t>）</w:t>
      </w:r>
      <w:r>
        <w:rPr>
          <w:rFonts w:ascii="仿宋" w:hAnsi="仿宋" w:eastAsia="仿宋" w:cs="仿宋"/>
          <w:spacing w:val="17"/>
          <w:sz w:val="31"/>
          <w:szCs w:val="31"/>
        </w:rPr>
        <w:t>以及党政机关和事业单位管理的国有资本全部纳入国有资本经营预算实施范围。本办法适用对象包括各</w:t>
      </w:r>
      <w:r>
        <w:rPr>
          <w:rFonts w:hint="eastAsia" w:ascii="仿宋" w:hAnsi="仿宋" w:eastAsia="仿宋" w:cs="仿宋"/>
          <w:spacing w:val="17"/>
          <w:sz w:val="31"/>
          <w:szCs w:val="31"/>
          <w:lang w:val="en-US" w:eastAsia="zh-CN"/>
        </w:rPr>
        <w:t>县级</w:t>
      </w:r>
      <w:r>
        <w:rPr>
          <w:rFonts w:ascii="仿宋" w:hAnsi="仿宋" w:eastAsia="仿宋" w:cs="仿宋"/>
          <w:spacing w:val="17"/>
          <w:sz w:val="31"/>
          <w:szCs w:val="31"/>
        </w:rPr>
        <w:t>部门</w:t>
      </w:r>
      <w:r>
        <w:rPr>
          <w:rFonts w:hint="eastAsia" w:ascii="仿宋" w:hAnsi="仿宋" w:eastAsia="仿宋" w:cs="仿宋"/>
          <w:spacing w:val="17"/>
          <w:sz w:val="31"/>
          <w:szCs w:val="31"/>
          <w:lang w:eastAsia="zh-CN"/>
        </w:rPr>
        <w:t>（</w:t>
      </w:r>
      <w:r>
        <w:rPr>
          <w:rFonts w:ascii="仿宋" w:hAnsi="仿宋" w:eastAsia="仿宋" w:cs="仿宋"/>
          <w:spacing w:val="17"/>
          <w:sz w:val="31"/>
          <w:szCs w:val="31"/>
        </w:rPr>
        <w:t>单位</w:t>
      </w:r>
      <w:r>
        <w:rPr>
          <w:rFonts w:hint="eastAsia" w:ascii="仿宋" w:hAnsi="仿宋" w:eastAsia="仿宋" w:cs="仿宋"/>
          <w:spacing w:val="17"/>
          <w:sz w:val="31"/>
          <w:szCs w:val="31"/>
          <w:lang w:eastAsia="zh-CN"/>
        </w:rPr>
        <w:t>）（</w:t>
      </w:r>
      <w:r>
        <w:rPr>
          <w:rFonts w:ascii="仿宋" w:hAnsi="仿宋" w:eastAsia="仿宋" w:cs="仿宋"/>
          <w:spacing w:val="17"/>
          <w:sz w:val="31"/>
          <w:szCs w:val="31"/>
        </w:rPr>
        <w:t>以下统称</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级预算单位</w:t>
      </w:r>
      <w:r>
        <w:rPr>
          <w:rFonts w:hint="eastAsia" w:ascii="仿宋" w:hAnsi="仿宋" w:eastAsia="仿宋" w:cs="仿宋"/>
          <w:spacing w:val="17"/>
          <w:sz w:val="31"/>
          <w:szCs w:val="31"/>
          <w:lang w:eastAsia="zh-CN"/>
        </w:rPr>
        <w:t>）</w:t>
      </w:r>
      <w:r>
        <w:rPr>
          <w:rFonts w:ascii="仿宋" w:hAnsi="仿宋" w:eastAsia="仿宋" w:cs="仿宋"/>
          <w:spacing w:val="17"/>
          <w:sz w:val="31"/>
          <w:szCs w:val="31"/>
        </w:rPr>
        <w:t>及其监管</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所属</w:t>
      </w:r>
      <w:r>
        <w:rPr>
          <w:rFonts w:hint="eastAsia" w:ascii="仿宋" w:hAnsi="仿宋" w:eastAsia="仿宋" w:cs="仿宋"/>
          <w:spacing w:val="17"/>
          <w:sz w:val="31"/>
          <w:szCs w:val="31"/>
          <w:lang w:eastAsia="zh-CN"/>
        </w:rPr>
        <w:t>）</w:t>
      </w:r>
      <w:r>
        <w:rPr>
          <w:rFonts w:ascii="仿宋" w:hAnsi="仿宋" w:eastAsia="仿宋" w:cs="仿宋"/>
          <w:spacing w:val="17"/>
          <w:sz w:val="31"/>
          <w:szCs w:val="31"/>
        </w:rPr>
        <w:t>的国有独资企业、国有独资公司</w:t>
      </w:r>
      <w:r>
        <w:rPr>
          <w:rFonts w:hint="eastAsia" w:ascii="仿宋" w:hAnsi="仿宋" w:eastAsia="仿宋" w:cs="仿宋"/>
          <w:spacing w:val="17"/>
          <w:sz w:val="31"/>
          <w:szCs w:val="31"/>
          <w:lang w:eastAsia="zh-CN"/>
        </w:rPr>
        <w:t>，</w:t>
      </w:r>
      <w:r>
        <w:rPr>
          <w:rFonts w:ascii="仿宋" w:hAnsi="仿宋" w:eastAsia="仿宋" w:cs="仿宋"/>
          <w:spacing w:val="17"/>
          <w:sz w:val="31"/>
          <w:szCs w:val="31"/>
        </w:rPr>
        <w:t>国有控股和参股企业等</w:t>
      </w:r>
      <w:r>
        <w:rPr>
          <w:rFonts w:hint="eastAsia" w:ascii="仿宋" w:hAnsi="仿宋" w:eastAsia="仿宋" w:cs="仿宋"/>
          <w:spacing w:val="17"/>
          <w:sz w:val="31"/>
          <w:szCs w:val="31"/>
          <w:lang w:eastAsia="zh-CN"/>
        </w:rPr>
        <w:t>（</w:t>
      </w:r>
      <w:r>
        <w:rPr>
          <w:rFonts w:ascii="仿宋" w:hAnsi="仿宋" w:eastAsia="仿宋" w:cs="仿宋"/>
          <w:spacing w:val="17"/>
          <w:sz w:val="31"/>
          <w:szCs w:val="31"/>
        </w:rPr>
        <w:t>即一级企业</w:t>
      </w:r>
      <w:r>
        <w:rPr>
          <w:rFonts w:hint="eastAsia" w:ascii="仿宋" w:hAnsi="仿宋" w:eastAsia="仿宋" w:cs="仿宋"/>
          <w:spacing w:val="17"/>
          <w:sz w:val="31"/>
          <w:szCs w:val="31"/>
          <w:lang w:eastAsia="zh-CN"/>
        </w:rPr>
        <w:t>），</w:t>
      </w:r>
      <w:r>
        <w:rPr>
          <w:rFonts w:ascii="仿宋" w:hAnsi="仿宋" w:eastAsia="仿宋" w:cs="仿宋"/>
          <w:spacing w:val="17"/>
          <w:sz w:val="31"/>
          <w:szCs w:val="31"/>
        </w:rPr>
        <w:t>以及直接向</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财政局报送国有资本经营预算的</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属企业，包含省政府授权管理的</w:t>
      </w:r>
      <w:r>
        <w:rPr>
          <w:rFonts w:hint="eastAsia" w:ascii="仿宋" w:hAnsi="仿宋" w:eastAsia="仿宋" w:cs="仿宋"/>
          <w:spacing w:val="17"/>
          <w:sz w:val="31"/>
          <w:szCs w:val="31"/>
          <w:lang w:val="en-US" w:eastAsia="zh-CN"/>
        </w:rPr>
        <w:t>伊春森工汤旺河林业局有限责任公司和伊春森工乌伊岭林业局有限责任公司</w:t>
      </w:r>
      <w:r>
        <w:rPr>
          <w:rFonts w:hint="eastAsia" w:ascii="仿宋" w:hAnsi="仿宋" w:eastAsia="仿宋" w:cs="仿宋"/>
          <w:spacing w:val="17"/>
          <w:sz w:val="31"/>
          <w:szCs w:val="31"/>
          <w:lang w:eastAsia="zh-CN"/>
        </w:rPr>
        <w:t>（</w:t>
      </w:r>
      <w:r>
        <w:rPr>
          <w:rFonts w:ascii="仿宋" w:hAnsi="仿宋" w:eastAsia="仿宋" w:cs="仿宋"/>
          <w:spacing w:val="17"/>
          <w:sz w:val="31"/>
          <w:szCs w:val="31"/>
        </w:rPr>
        <w:t>及所属企业</w:t>
      </w:r>
      <w:r>
        <w:rPr>
          <w:rFonts w:hint="eastAsia" w:ascii="仿宋" w:hAnsi="仿宋" w:eastAsia="仿宋" w:cs="仿宋"/>
          <w:spacing w:val="17"/>
          <w:sz w:val="31"/>
          <w:szCs w:val="31"/>
          <w:lang w:eastAsia="zh-CN"/>
        </w:rPr>
        <w:t>）。</w:t>
      </w:r>
    </w:p>
    <w:p w14:paraId="098402EF">
      <w:pPr>
        <w:spacing w:before="101" w:line="318" w:lineRule="auto"/>
        <w:ind w:firstLine="644"/>
        <w:rPr>
          <w:rFonts w:ascii="仿宋" w:hAnsi="仿宋" w:eastAsia="仿宋" w:cs="仿宋"/>
          <w:spacing w:val="17"/>
          <w:sz w:val="31"/>
          <w:szCs w:val="31"/>
        </w:rPr>
      </w:pPr>
      <w:r>
        <w:rPr>
          <w:rFonts w:ascii="仿宋" w:hAnsi="仿宋" w:eastAsia="仿宋" w:cs="仿宋"/>
          <w:b/>
          <w:bCs/>
          <w:spacing w:val="17"/>
          <w:sz w:val="31"/>
          <w:szCs w:val="31"/>
        </w:rPr>
        <w:t>第七条</w:t>
      </w:r>
      <w:r>
        <w:rPr>
          <w:rFonts w:hint="eastAsia" w:ascii="仿宋" w:hAnsi="仿宋" w:eastAsia="仿宋" w:cs="仿宋"/>
          <w:b/>
          <w:bCs/>
          <w:spacing w:val="17"/>
          <w:sz w:val="31"/>
          <w:szCs w:val="31"/>
          <w:lang w:val="en-US" w:eastAsia="zh-CN"/>
        </w:rPr>
        <w:t xml:space="preserve"> </w:t>
      </w:r>
      <w:r>
        <w:rPr>
          <w:rFonts w:ascii="仿宋" w:hAnsi="仿宋" w:eastAsia="仿宋" w:cs="仿宋"/>
          <w:spacing w:val="17"/>
          <w:sz w:val="31"/>
          <w:szCs w:val="31"/>
        </w:rPr>
        <w:t>经法定程序批准的</w:t>
      </w:r>
      <w:r>
        <w:rPr>
          <w:rFonts w:hint="eastAsia" w:ascii="仿宋" w:hAnsi="仿宋" w:eastAsia="仿宋" w:cs="仿宋"/>
          <w:spacing w:val="17"/>
          <w:sz w:val="31"/>
          <w:szCs w:val="31"/>
          <w:lang w:val="en-US" w:eastAsia="zh-CN"/>
        </w:rPr>
        <w:t>县级</w:t>
      </w:r>
      <w:r>
        <w:rPr>
          <w:rFonts w:ascii="仿宋" w:hAnsi="仿宋" w:eastAsia="仿宋" w:cs="仿宋"/>
          <w:spacing w:val="17"/>
          <w:sz w:val="31"/>
          <w:szCs w:val="31"/>
        </w:rPr>
        <w:t>国有资本经营预算</w:t>
      </w:r>
      <w:r>
        <w:rPr>
          <w:rFonts w:hint="eastAsia" w:ascii="仿宋" w:hAnsi="仿宋" w:eastAsia="仿宋" w:cs="仿宋"/>
          <w:spacing w:val="17"/>
          <w:sz w:val="31"/>
          <w:szCs w:val="31"/>
          <w:lang w:eastAsia="zh-CN"/>
        </w:rPr>
        <w:t>、</w:t>
      </w:r>
      <w:r>
        <w:rPr>
          <w:rFonts w:ascii="仿宋" w:hAnsi="仿宋" w:eastAsia="仿宋" w:cs="仿宋"/>
          <w:spacing w:val="17"/>
          <w:sz w:val="31"/>
          <w:szCs w:val="31"/>
        </w:rPr>
        <w:t>决算应当根据有关规定及时向社会公开，涉及国家秘密的除外。</w:t>
      </w:r>
    </w:p>
    <w:p w14:paraId="78C13482">
      <w:pPr>
        <w:spacing w:before="101" w:line="318" w:lineRule="auto"/>
        <w:ind w:firstLine="644"/>
        <w:rPr>
          <w:rFonts w:ascii="仿宋" w:hAnsi="仿宋" w:eastAsia="仿宋" w:cs="仿宋"/>
          <w:spacing w:val="17"/>
          <w:sz w:val="31"/>
          <w:szCs w:val="31"/>
        </w:rPr>
      </w:pPr>
      <w:r>
        <w:rPr>
          <w:rFonts w:ascii="仿宋" w:hAnsi="仿宋" w:eastAsia="仿宋" w:cs="仿宋"/>
          <w:b/>
          <w:bCs/>
          <w:spacing w:val="17"/>
          <w:sz w:val="31"/>
          <w:szCs w:val="31"/>
        </w:rPr>
        <w:t>第八条</w:t>
      </w:r>
      <w:r>
        <w:rPr>
          <w:rFonts w:ascii="仿宋" w:hAnsi="仿宋" w:eastAsia="仿宋" w:cs="仿宋"/>
          <w:spacing w:val="17"/>
          <w:sz w:val="31"/>
          <w:szCs w:val="31"/>
        </w:rPr>
        <w:t xml:space="preserve"> </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财政局会同</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国资局等</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政府授权履行出资人职责的机构</w:t>
      </w:r>
      <w:r>
        <w:rPr>
          <w:rFonts w:hint="eastAsia" w:ascii="仿宋" w:hAnsi="仿宋" w:eastAsia="仿宋" w:cs="仿宋"/>
          <w:spacing w:val="17"/>
          <w:sz w:val="31"/>
          <w:szCs w:val="31"/>
          <w:lang w:eastAsia="zh-CN"/>
        </w:rPr>
        <w:t>（</w:t>
      </w:r>
      <w:r>
        <w:rPr>
          <w:rFonts w:ascii="仿宋" w:hAnsi="仿宋" w:eastAsia="仿宋" w:cs="仿宋"/>
          <w:spacing w:val="17"/>
          <w:sz w:val="31"/>
          <w:szCs w:val="31"/>
        </w:rPr>
        <w:t>部门</w:t>
      </w:r>
      <w:r>
        <w:rPr>
          <w:rFonts w:hint="eastAsia" w:ascii="仿宋" w:hAnsi="仿宋" w:eastAsia="仿宋" w:cs="仿宋"/>
          <w:spacing w:val="17"/>
          <w:sz w:val="31"/>
          <w:szCs w:val="31"/>
          <w:lang w:eastAsia="zh-CN"/>
        </w:rPr>
        <w:t>）</w:t>
      </w:r>
      <w:r>
        <w:rPr>
          <w:rFonts w:ascii="仿宋" w:hAnsi="仿宋" w:eastAsia="仿宋" w:cs="仿宋"/>
          <w:spacing w:val="17"/>
          <w:sz w:val="31"/>
          <w:szCs w:val="31"/>
        </w:rPr>
        <w:t>研究制定</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级国有资本经营预算有关管理制度。</w:t>
      </w:r>
    </w:p>
    <w:p w14:paraId="3DF9FEE1">
      <w:pPr>
        <w:spacing w:before="175" w:line="222" w:lineRule="auto"/>
        <w:jc w:val="center"/>
        <w:outlineLvl w:val="2"/>
        <w:rPr>
          <w:rFonts w:ascii="黑体" w:hAnsi="黑体" w:eastAsia="黑体" w:cs="黑体"/>
          <w:sz w:val="31"/>
          <w:szCs w:val="31"/>
        </w:rPr>
      </w:pPr>
      <w:r>
        <w:rPr>
          <w:rFonts w:ascii="黑体" w:hAnsi="黑体" w:eastAsia="黑体" w:cs="黑体"/>
          <w:b/>
          <w:bCs/>
          <w:spacing w:val="-3"/>
          <w:sz w:val="31"/>
          <w:szCs w:val="31"/>
        </w:rPr>
        <w:t>第二章</w:t>
      </w:r>
      <w:r>
        <w:rPr>
          <w:rFonts w:ascii="黑体" w:hAnsi="黑体" w:eastAsia="黑体" w:cs="黑体"/>
          <w:spacing w:val="19"/>
          <w:sz w:val="31"/>
          <w:szCs w:val="31"/>
        </w:rPr>
        <w:t xml:space="preserve">  </w:t>
      </w:r>
      <w:r>
        <w:rPr>
          <w:rFonts w:ascii="黑体" w:hAnsi="黑体" w:eastAsia="黑体" w:cs="黑体"/>
          <w:b/>
          <w:bCs/>
          <w:spacing w:val="-3"/>
          <w:sz w:val="31"/>
          <w:szCs w:val="31"/>
        </w:rPr>
        <w:t>预算收支范围</w:t>
      </w:r>
    </w:p>
    <w:p w14:paraId="37F2FF8A">
      <w:pPr>
        <w:spacing w:before="101" w:line="318" w:lineRule="auto"/>
        <w:ind w:firstLine="644"/>
        <w:rPr>
          <w:rFonts w:ascii="仿宋" w:hAnsi="仿宋" w:eastAsia="仿宋" w:cs="仿宋"/>
          <w:spacing w:val="17"/>
          <w:sz w:val="31"/>
          <w:szCs w:val="31"/>
        </w:rPr>
      </w:pPr>
      <w:r>
        <w:rPr>
          <w:rFonts w:hint="eastAsia" w:ascii="仿宋" w:hAnsi="仿宋" w:eastAsia="仿宋" w:cs="仿宋"/>
          <w:b/>
          <w:bCs/>
          <w:spacing w:val="17"/>
          <w:sz w:val="31"/>
          <w:szCs w:val="31"/>
          <w:lang w:val="en-US" w:eastAsia="zh-CN"/>
        </w:rPr>
        <w:t>第九条</w:t>
      </w:r>
      <w:r>
        <w:rPr>
          <w:rFonts w:ascii="仿宋" w:hAnsi="仿宋" w:eastAsia="仿宋" w:cs="仿宋"/>
          <w:spacing w:val="17"/>
          <w:sz w:val="31"/>
          <w:szCs w:val="31"/>
        </w:rPr>
        <w:t xml:space="preserve"> 国有资本经营预算收入</w:t>
      </w:r>
      <w:r>
        <w:rPr>
          <w:rFonts w:hint="eastAsia" w:ascii="仿宋" w:hAnsi="仿宋" w:eastAsia="仿宋" w:cs="仿宋"/>
          <w:spacing w:val="17"/>
          <w:sz w:val="31"/>
          <w:szCs w:val="31"/>
          <w:lang w:eastAsia="zh-CN"/>
        </w:rPr>
        <w:t>，</w:t>
      </w:r>
      <w:r>
        <w:rPr>
          <w:rFonts w:ascii="仿宋" w:hAnsi="仿宋" w:eastAsia="仿宋" w:cs="仿宋"/>
          <w:spacing w:val="17"/>
          <w:sz w:val="31"/>
          <w:szCs w:val="31"/>
        </w:rPr>
        <w:t>是国家以出资人身份依法从所出资企业取得的国有资本收益，具体包括：</w:t>
      </w:r>
    </w:p>
    <w:p w14:paraId="2B233D4D">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一</w:t>
      </w:r>
      <w:r>
        <w:rPr>
          <w:rFonts w:hint="eastAsia" w:ascii="仿宋" w:hAnsi="仿宋" w:eastAsia="仿宋" w:cs="仿宋"/>
          <w:spacing w:val="17"/>
          <w:sz w:val="31"/>
          <w:szCs w:val="31"/>
          <w:lang w:eastAsia="zh-CN"/>
        </w:rPr>
        <w:t>）</w:t>
      </w:r>
      <w:r>
        <w:rPr>
          <w:rFonts w:ascii="仿宋" w:hAnsi="仿宋" w:eastAsia="仿宋" w:cs="仿宋"/>
          <w:spacing w:val="17"/>
          <w:sz w:val="31"/>
          <w:szCs w:val="31"/>
        </w:rPr>
        <w:t>应交利润，是指国有独资企业、国有独资公司按规定应当上交国家的利润</w:t>
      </w:r>
      <w:r>
        <w:rPr>
          <w:rFonts w:hint="eastAsia" w:ascii="仿宋" w:hAnsi="仿宋" w:eastAsia="仿宋" w:cs="仿宋"/>
          <w:spacing w:val="17"/>
          <w:sz w:val="31"/>
          <w:szCs w:val="31"/>
          <w:lang w:eastAsia="zh-CN"/>
        </w:rPr>
        <w:t>；</w:t>
      </w:r>
    </w:p>
    <w:p w14:paraId="779238A8">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二</w:t>
      </w:r>
      <w:r>
        <w:rPr>
          <w:rFonts w:hint="eastAsia" w:ascii="仿宋" w:hAnsi="仿宋" w:eastAsia="仿宋" w:cs="仿宋"/>
          <w:spacing w:val="17"/>
          <w:sz w:val="31"/>
          <w:szCs w:val="31"/>
          <w:lang w:eastAsia="zh-CN"/>
        </w:rPr>
        <w:t>）</w:t>
      </w:r>
      <w:r>
        <w:rPr>
          <w:rFonts w:ascii="仿宋" w:hAnsi="仿宋" w:eastAsia="仿宋" w:cs="仿宋"/>
          <w:spacing w:val="17"/>
          <w:sz w:val="31"/>
          <w:szCs w:val="31"/>
        </w:rPr>
        <w:t>国有股股利、股息，是指国有控股、参股企业国有股权</w:t>
      </w:r>
      <w:r>
        <w:rPr>
          <w:rFonts w:hint="eastAsia" w:ascii="仿宋" w:hAnsi="仿宋" w:eastAsia="仿宋" w:cs="仿宋"/>
          <w:spacing w:val="17"/>
          <w:sz w:val="31"/>
          <w:szCs w:val="31"/>
          <w:lang w:eastAsia="zh-CN"/>
        </w:rPr>
        <w:t>（</w:t>
      </w:r>
      <w:r>
        <w:rPr>
          <w:rFonts w:ascii="仿宋" w:hAnsi="仿宋" w:eastAsia="仿宋" w:cs="仿宋"/>
          <w:spacing w:val="17"/>
          <w:sz w:val="31"/>
          <w:szCs w:val="31"/>
        </w:rPr>
        <w:t>股份</w:t>
      </w:r>
      <w:r>
        <w:rPr>
          <w:rFonts w:hint="eastAsia" w:ascii="仿宋" w:hAnsi="仿宋" w:eastAsia="仿宋" w:cs="仿宋"/>
          <w:spacing w:val="17"/>
          <w:sz w:val="31"/>
          <w:szCs w:val="31"/>
          <w:lang w:eastAsia="zh-CN"/>
        </w:rPr>
        <w:t>）</w:t>
      </w:r>
      <w:r>
        <w:rPr>
          <w:rFonts w:ascii="仿宋" w:hAnsi="仿宋" w:eastAsia="仿宋" w:cs="仿宋"/>
          <w:spacing w:val="17"/>
          <w:sz w:val="31"/>
          <w:szCs w:val="31"/>
        </w:rPr>
        <w:t>获得的股利</w:t>
      </w:r>
      <w:r>
        <w:rPr>
          <w:rFonts w:hint="eastAsia" w:ascii="仿宋" w:hAnsi="仿宋" w:eastAsia="仿宋" w:cs="仿宋"/>
          <w:spacing w:val="17"/>
          <w:sz w:val="31"/>
          <w:szCs w:val="31"/>
          <w:lang w:eastAsia="zh-CN"/>
        </w:rPr>
        <w:t>、</w:t>
      </w:r>
      <w:r>
        <w:rPr>
          <w:rFonts w:ascii="仿宋" w:hAnsi="仿宋" w:eastAsia="仿宋" w:cs="仿宋"/>
          <w:spacing w:val="17"/>
          <w:sz w:val="31"/>
          <w:szCs w:val="31"/>
        </w:rPr>
        <w:t>股息收入</w:t>
      </w:r>
      <w:r>
        <w:rPr>
          <w:rFonts w:hint="eastAsia" w:ascii="仿宋" w:hAnsi="仿宋" w:eastAsia="仿宋" w:cs="仿宋"/>
          <w:spacing w:val="17"/>
          <w:sz w:val="31"/>
          <w:szCs w:val="31"/>
          <w:lang w:eastAsia="zh-CN"/>
        </w:rPr>
        <w:t>；</w:t>
      </w:r>
    </w:p>
    <w:p w14:paraId="22890AC0">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三</w:t>
      </w:r>
      <w:r>
        <w:rPr>
          <w:rFonts w:hint="eastAsia" w:ascii="仿宋" w:hAnsi="仿宋" w:eastAsia="仿宋" w:cs="仿宋"/>
          <w:spacing w:val="17"/>
          <w:sz w:val="31"/>
          <w:szCs w:val="31"/>
          <w:lang w:eastAsia="zh-CN"/>
        </w:rPr>
        <w:t>）</w:t>
      </w:r>
      <w:r>
        <w:rPr>
          <w:rFonts w:ascii="仿宋" w:hAnsi="仿宋" w:eastAsia="仿宋" w:cs="仿宋"/>
          <w:spacing w:val="17"/>
          <w:sz w:val="31"/>
          <w:szCs w:val="31"/>
        </w:rPr>
        <w:t>国有产权转让收入</w:t>
      </w:r>
      <w:r>
        <w:rPr>
          <w:rFonts w:hint="eastAsia" w:ascii="仿宋" w:hAnsi="仿宋" w:eastAsia="仿宋" w:cs="仿宋"/>
          <w:spacing w:val="17"/>
          <w:sz w:val="31"/>
          <w:szCs w:val="31"/>
          <w:lang w:eastAsia="zh-CN"/>
        </w:rPr>
        <w:t>，</w:t>
      </w:r>
      <w:r>
        <w:rPr>
          <w:rFonts w:ascii="仿宋" w:hAnsi="仿宋" w:eastAsia="仿宋" w:cs="仿宋"/>
          <w:spacing w:val="17"/>
          <w:sz w:val="31"/>
          <w:szCs w:val="31"/>
        </w:rPr>
        <w:t>是指国有产权、股权</w:t>
      </w:r>
      <w:r>
        <w:rPr>
          <w:rFonts w:hint="eastAsia" w:ascii="仿宋" w:hAnsi="仿宋" w:eastAsia="仿宋" w:cs="仿宋"/>
          <w:spacing w:val="17"/>
          <w:sz w:val="31"/>
          <w:szCs w:val="31"/>
          <w:lang w:eastAsia="zh-CN"/>
        </w:rPr>
        <w:t>（</w:t>
      </w:r>
      <w:r>
        <w:rPr>
          <w:rFonts w:ascii="仿宋" w:hAnsi="仿宋" w:eastAsia="仿宋" w:cs="仿宋"/>
          <w:spacing w:val="17"/>
          <w:sz w:val="31"/>
          <w:szCs w:val="31"/>
        </w:rPr>
        <w:t>股份</w:t>
      </w:r>
      <w:r>
        <w:rPr>
          <w:rFonts w:hint="eastAsia" w:ascii="仿宋" w:hAnsi="仿宋" w:eastAsia="仿宋" w:cs="仿宋"/>
          <w:spacing w:val="17"/>
          <w:sz w:val="31"/>
          <w:szCs w:val="31"/>
          <w:lang w:eastAsia="zh-CN"/>
        </w:rPr>
        <w:t>）</w:t>
      </w:r>
      <w:r>
        <w:rPr>
          <w:rFonts w:ascii="仿宋" w:hAnsi="仿宋" w:eastAsia="仿宋" w:cs="仿宋"/>
          <w:spacing w:val="17"/>
          <w:sz w:val="31"/>
          <w:szCs w:val="31"/>
        </w:rPr>
        <w:t>转让获得的净收入</w:t>
      </w:r>
      <w:r>
        <w:rPr>
          <w:rFonts w:hint="eastAsia" w:ascii="仿宋" w:hAnsi="仿宋" w:eastAsia="仿宋" w:cs="仿宋"/>
          <w:spacing w:val="17"/>
          <w:sz w:val="31"/>
          <w:szCs w:val="31"/>
          <w:lang w:eastAsia="zh-CN"/>
        </w:rPr>
        <w:t>（</w:t>
      </w:r>
      <w:r>
        <w:rPr>
          <w:rFonts w:ascii="仿宋" w:hAnsi="仿宋" w:eastAsia="仿宋" w:cs="仿宋"/>
          <w:spacing w:val="17"/>
          <w:sz w:val="31"/>
          <w:szCs w:val="31"/>
        </w:rPr>
        <w:t>扣除转让费用</w:t>
      </w:r>
      <w:r>
        <w:rPr>
          <w:rFonts w:hint="eastAsia" w:ascii="仿宋" w:hAnsi="仿宋" w:eastAsia="仿宋" w:cs="仿宋"/>
          <w:spacing w:val="17"/>
          <w:sz w:val="31"/>
          <w:szCs w:val="31"/>
          <w:lang w:eastAsia="zh-CN"/>
        </w:rPr>
        <w:t>）；</w:t>
      </w:r>
    </w:p>
    <w:p w14:paraId="75287856">
      <w:pPr>
        <w:spacing w:before="101" w:line="318" w:lineRule="auto"/>
        <w:ind w:firstLine="644"/>
        <w:rPr>
          <w:rFonts w:ascii="仿宋" w:hAnsi="仿宋" w:eastAsia="仿宋" w:cs="仿宋"/>
          <w:spacing w:val="17"/>
          <w:sz w:val="31"/>
          <w:szCs w:val="31"/>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四）</w:t>
      </w:r>
      <w:r>
        <w:rPr>
          <w:rFonts w:hint="eastAsia" w:ascii="仿宋" w:hAnsi="仿宋" w:eastAsia="仿宋" w:cs="仿宋"/>
          <w:spacing w:val="17"/>
          <w:sz w:val="31"/>
          <w:szCs w:val="31"/>
          <w:lang w:eastAsia="zh-CN"/>
        </w:rPr>
        <w:t>企</w:t>
      </w:r>
      <w:r>
        <w:rPr>
          <w:rFonts w:ascii="仿宋" w:hAnsi="仿宋" w:eastAsia="仿宋" w:cs="仿宋"/>
          <w:spacing w:val="17"/>
          <w:sz w:val="31"/>
          <w:szCs w:val="31"/>
        </w:rPr>
        <w:t>业清算收入，是指国有独资企业、国有独资公司清算收入</w:t>
      </w:r>
      <w:r>
        <w:rPr>
          <w:rFonts w:hint="eastAsia" w:ascii="仿宋" w:hAnsi="仿宋" w:eastAsia="仿宋" w:cs="仿宋"/>
          <w:spacing w:val="17"/>
          <w:sz w:val="31"/>
          <w:szCs w:val="31"/>
          <w:lang w:eastAsia="zh-CN"/>
        </w:rPr>
        <w:t>（</w:t>
      </w:r>
      <w:r>
        <w:rPr>
          <w:rFonts w:ascii="仿宋" w:hAnsi="仿宋" w:eastAsia="仿宋" w:cs="仿宋"/>
          <w:spacing w:val="17"/>
          <w:sz w:val="31"/>
          <w:szCs w:val="31"/>
        </w:rPr>
        <w:t>扣除清算费用</w:t>
      </w:r>
      <w:r>
        <w:rPr>
          <w:rFonts w:hint="eastAsia" w:ascii="仿宋" w:hAnsi="仿宋" w:eastAsia="仿宋" w:cs="仿宋"/>
          <w:spacing w:val="17"/>
          <w:sz w:val="31"/>
          <w:szCs w:val="31"/>
          <w:lang w:eastAsia="zh-CN"/>
        </w:rPr>
        <w:t>），</w:t>
      </w:r>
      <w:r>
        <w:rPr>
          <w:rFonts w:ascii="仿宋" w:hAnsi="仿宋" w:eastAsia="仿宋" w:cs="仿宋"/>
          <w:spacing w:val="17"/>
          <w:sz w:val="31"/>
          <w:szCs w:val="31"/>
        </w:rPr>
        <w:t>国有控股</w:t>
      </w:r>
      <w:r>
        <w:rPr>
          <w:rFonts w:hint="eastAsia" w:ascii="仿宋" w:hAnsi="仿宋" w:eastAsia="仿宋" w:cs="仿宋"/>
          <w:spacing w:val="17"/>
          <w:sz w:val="31"/>
          <w:szCs w:val="31"/>
          <w:lang w:eastAsia="zh-CN"/>
        </w:rPr>
        <w:t>、</w:t>
      </w:r>
      <w:r>
        <w:rPr>
          <w:rFonts w:ascii="仿宋" w:hAnsi="仿宋" w:eastAsia="仿宋" w:cs="仿宋"/>
          <w:spacing w:val="17"/>
          <w:sz w:val="31"/>
          <w:szCs w:val="31"/>
        </w:rPr>
        <w:t>参股企业国有股权</w:t>
      </w:r>
      <w:r>
        <w:rPr>
          <w:rFonts w:hint="eastAsia" w:ascii="仿宋" w:hAnsi="仿宋" w:eastAsia="仿宋" w:cs="仿宋"/>
          <w:spacing w:val="17"/>
          <w:sz w:val="31"/>
          <w:szCs w:val="31"/>
          <w:lang w:eastAsia="zh-CN"/>
        </w:rPr>
        <w:t>（</w:t>
      </w:r>
      <w:r>
        <w:rPr>
          <w:rFonts w:ascii="仿宋" w:hAnsi="仿宋" w:eastAsia="仿宋" w:cs="仿宋"/>
          <w:spacing w:val="17"/>
          <w:sz w:val="31"/>
          <w:szCs w:val="31"/>
        </w:rPr>
        <w:t>股份</w:t>
      </w:r>
      <w:r>
        <w:rPr>
          <w:rFonts w:hint="eastAsia" w:ascii="仿宋" w:hAnsi="仿宋" w:eastAsia="仿宋" w:cs="仿宋"/>
          <w:spacing w:val="17"/>
          <w:sz w:val="31"/>
          <w:szCs w:val="31"/>
          <w:lang w:eastAsia="zh-CN"/>
        </w:rPr>
        <w:t>）</w:t>
      </w:r>
      <w:r>
        <w:rPr>
          <w:rFonts w:ascii="仿宋" w:hAnsi="仿宋" w:eastAsia="仿宋" w:cs="仿宋"/>
          <w:spacing w:val="17"/>
          <w:sz w:val="31"/>
          <w:szCs w:val="31"/>
        </w:rPr>
        <w:t>分享的公司清算收入</w:t>
      </w:r>
      <w:r>
        <w:rPr>
          <w:rFonts w:hint="eastAsia" w:ascii="仿宋" w:hAnsi="仿宋" w:eastAsia="仿宋" w:cs="仿宋"/>
          <w:spacing w:val="17"/>
          <w:sz w:val="31"/>
          <w:szCs w:val="31"/>
          <w:lang w:eastAsia="zh-CN"/>
        </w:rPr>
        <w:t>（</w:t>
      </w:r>
      <w:r>
        <w:rPr>
          <w:rFonts w:ascii="仿宋" w:hAnsi="仿宋" w:eastAsia="仿宋" w:cs="仿宋"/>
          <w:spacing w:val="17"/>
          <w:sz w:val="31"/>
          <w:szCs w:val="31"/>
        </w:rPr>
        <w:t>扣除清算费用</w:t>
      </w:r>
      <w:r>
        <w:rPr>
          <w:rFonts w:hint="eastAsia" w:ascii="仿宋" w:hAnsi="仿宋" w:eastAsia="仿宋" w:cs="仿宋"/>
          <w:spacing w:val="17"/>
          <w:sz w:val="31"/>
          <w:szCs w:val="31"/>
          <w:lang w:eastAsia="zh-CN"/>
        </w:rPr>
        <w:t>）；</w:t>
      </w:r>
    </w:p>
    <w:p w14:paraId="13AAA04E">
      <w:pPr>
        <w:spacing w:before="101" w:line="318" w:lineRule="auto"/>
        <w:ind w:firstLine="644"/>
        <w:rPr>
          <w:rFonts w:ascii="仿宋" w:hAnsi="仿宋" w:eastAsia="仿宋" w:cs="仿宋"/>
          <w:spacing w:val="17"/>
          <w:sz w:val="31"/>
          <w:szCs w:val="31"/>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五</w:t>
      </w:r>
      <w:r>
        <w:rPr>
          <w:rFonts w:hint="eastAsia" w:ascii="仿宋" w:hAnsi="仿宋" w:eastAsia="仿宋" w:cs="仿宋"/>
          <w:spacing w:val="17"/>
          <w:sz w:val="31"/>
          <w:szCs w:val="31"/>
          <w:lang w:eastAsia="zh-CN"/>
        </w:rPr>
        <w:t>）</w:t>
      </w:r>
      <w:r>
        <w:rPr>
          <w:rFonts w:ascii="仿宋" w:hAnsi="仿宋" w:eastAsia="仿宋" w:cs="仿宋"/>
          <w:spacing w:val="17"/>
          <w:sz w:val="31"/>
          <w:szCs w:val="31"/>
        </w:rPr>
        <w:t>其他国有资本收益。</w:t>
      </w:r>
    </w:p>
    <w:p w14:paraId="21FE6DCA">
      <w:pPr>
        <w:spacing w:before="101" w:line="318" w:lineRule="auto"/>
        <w:ind w:firstLine="644"/>
        <w:rPr>
          <w:rFonts w:ascii="仿宋" w:hAnsi="仿宋" w:eastAsia="仿宋" w:cs="仿宋"/>
          <w:spacing w:val="17"/>
          <w:sz w:val="31"/>
          <w:szCs w:val="31"/>
        </w:rPr>
      </w:pPr>
      <w:r>
        <w:rPr>
          <w:rFonts w:ascii="仿宋" w:hAnsi="仿宋" w:eastAsia="仿宋" w:cs="仿宋"/>
          <w:b/>
          <w:bCs/>
          <w:spacing w:val="17"/>
          <w:sz w:val="31"/>
          <w:szCs w:val="31"/>
        </w:rPr>
        <w:t>第十条</w:t>
      </w:r>
      <w:r>
        <w:rPr>
          <w:rFonts w:ascii="仿宋" w:hAnsi="仿宋" w:eastAsia="仿宋" w:cs="仿宋"/>
          <w:spacing w:val="17"/>
          <w:sz w:val="31"/>
          <w:szCs w:val="31"/>
        </w:rPr>
        <w:t xml:space="preserve"> </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级国有资本经营预算支出应当服务于国家战略</w:t>
      </w:r>
      <w:r>
        <w:rPr>
          <w:rFonts w:hint="eastAsia" w:ascii="仿宋" w:hAnsi="仿宋" w:eastAsia="仿宋" w:cs="仿宋"/>
          <w:spacing w:val="17"/>
          <w:sz w:val="31"/>
          <w:szCs w:val="31"/>
          <w:lang w:eastAsia="zh-CN"/>
        </w:rPr>
        <w:t>、</w:t>
      </w:r>
      <w:r>
        <w:rPr>
          <w:rFonts w:ascii="仿宋" w:hAnsi="仿宋" w:eastAsia="仿宋" w:cs="仿宋"/>
          <w:spacing w:val="17"/>
          <w:sz w:val="31"/>
          <w:szCs w:val="31"/>
        </w:rPr>
        <w:t>安全等需要，主要用于以下方面：</w:t>
      </w:r>
    </w:p>
    <w:p w14:paraId="1A91B431">
      <w:pPr>
        <w:spacing w:before="101" w:line="318" w:lineRule="auto"/>
        <w:ind w:firstLine="644"/>
        <w:rPr>
          <w:rFonts w:ascii="仿宋" w:hAnsi="仿宋" w:eastAsia="仿宋" w:cs="仿宋"/>
          <w:spacing w:val="17"/>
          <w:sz w:val="31"/>
          <w:szCs w:val="31"/>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一</w:t>
      </w:r>
      <w:r>
        <w:rPr>
          <w:rFonts w:hint="eastAsia" w:ascii="仿宋" w:hAnsi="仿宋" w:eastAsia="仿宋" w:cs="仿宋"/>
          <w:spacing w:val="17"/>
          <w:sz w:val="31"/>
          <w:szCs w:val="31"/>
          <w:lang w:eastAsia="zh-CN"/>
        </w:rPr>
        <w:t>）</w:t>
      </w:r>
      <w:r>
        <w:rPr>
          <w:rFonts w:ascii="仿宋" w:hAnsi="仿宋" w:eastAsia="仿宋" w:cs="仿宋"/>
          <w:spacing w:val="17"/>
          <w:sz w:val="31"/>
          <w:szCs w:val="31"/>
        </w:rPr>
        <w:t>根据“1234”现代化生态产业体系建设、国有经济布局优化和结构调整、国有企业高质量发展要求等安排的资本金注入。具体包括</w:t>
      </w:r>
      <w:r>
        <w:rPr>
          <w:rFonts w:hint="eastAsia" w:ascii="仿宋" w:hAnsi="仿宋" w:eastAsia="仿宋" w:cs="仿宋"/>
          <w:spacing w:val="17"/>
          <w:sz w:val="31"/>
          <w:szCs w:val="31"/>
          <w:lang w:eastAsia="zh-CN"/>
        </w:rPr>
        <w:t>：</w:t>
      </w:r>
      <w:r>
        <w:rPr>
          <w:rFonts w:ascii="仿宋" w:hAnsi="仿宋" w:eastAsia="仿宋" w:cs="仿宋"/>
          <w:spacing w:val="17"/>
          <w:sz w:val="31"/>
          <w:szCs w:val="31"/>
        </w:rPr>
        <w:t>新设企业国家资本金注入，现有企业国有资本增资扩股投入，购买股权、认购股份等方面的资本性支出；</w:t>
      </w:r>
    </w:p>
    <w:p w14:paraId="6AB56A99">
      <w:pPr>
        <w:spacing w:before="101" w:line="318" w:lineRule="auto"/>
        <w:ind w:firstLine="644"/>
        <w:rPr>
          <w:rFonts w:ascii="仿宋" w:hAnsi="仿宋" w:eastAsia="仿宋" w:cs="仿宋"/>
          <w:spacing w:val="17"/>
          <w:sz w:val="31"/>
          <w:szCs w:val="31"/>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二</w:t>
      </w:r>
      <w:r>
        <w:rPr>
          <w:rFonts w:hint="eastAsia" w:ascii="仿宋" w:hAnsi="仿宋" w:eastAsia="仿宋" w:cs="仿宋"/>
          <w:spacing w:val="17"/>
          <w:sz w:val="31"/>
          <w:szCs w:val="31"/>
          <w:lang w:eastAsia="zh-CN"/>
        </w:rPr>
        <w:t>）</w:t>
      </w:r>
      <w:r>
        <w:rPr>
          <w:rFonts w:ascii="仿宋" w:hAnsi="仿宋" w:eastAsia="仿宋" w:cs="仿宋"/>
          <w:spacing w:val="17"/>
          <w:sz w:val="31"/>
          <w:szCs w:val="31"/>
        </w:rPr>
        <w:t>解决</w:t>
      </w: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属国有企业历史遗留问题及相关改革成本支出；</w:t>
      </w:r>
    </w:p>
    <w:p w14:paraId="7A0A169A">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三</w:t>
      </w:r>
      <w:r>
        <w:rPr>
          <w:rFonts w:hint="eastAsia" w:ascii="仿宋" w:hAnsi="仿宋" w:eastAsia="仿宋" w:cs="仿宋"/>
          <w:spacing w:val="17"/>
          <w:sz w:val="31"/>
          <w:szCs w:val="31"/>
          <w:lang w:eastAsia="zh-CN"/>
        </w:rPr>
        <w:t>）</w:t>
      </w:r>
      <w:r>
        <w:rPr>
          <w:rFonts w:ascii="仿宋" w:hAnsi="仿宋" w:eastAsia="仿宋" w:cs="仿宋"/>
          <w:spacing w:val="17"/>
          <w:sz w:val="31"/>
          <w:szCs w:val="31"/>
        </w:rPr>
        <w:t>落实党中央、国务院和省委、省政府</w:t>
      </w:r>
      <w:r>
        <w:rPr>
          <w:rFonts w:hint="eastAsia" w:ascii="仿宋" w:hAnsi="仿宋" w:eastAsia="仿宋" w:cs="仿宋"/>
          <w:spacing w:val="17"/>
          <w:sz w:val="31"/>
          <w:szCs w:val="31"/>
          <w:lang w:eastAsia="zh-CN"/>
        </w:rPr>
        <w:t>、</w:t>
      </w:r>
      <w:r>
        <w:rPr>
          <w:rFonts w:ascii="仿宋" w:hAnsi="仿宋" w:eastAsia="仿宋" w:cs="仿宋"/>
          <w:spacing w:val="17"/>
          <w:sz w:val="31"/>
          <w:szCs w:val="31"/>
        </w:rPr>
        <w:t>市委、市政府</w:t>
      </w:r>
      <w:r>
        <w:rPr>
          <w:rFonts w:hint="eastAsia" w:ascii="仿宋" w:hAnsi="仿宋" w:eastAsia="仿宋" w:cs="仿宋"/>
          <w:spacing w:val="17"/>
          <w:sz w:val="31"/>
          <w:szCs w:val="31"/>
          <w:lang w:val="en-US" w:eastAsia="zh-CN"/>
        </w:rPr>
        <w:t>以及县委、县政府</w:t>
      </w:r>
      <w:r>
        <w:rPr>
          <w:rFonts w:ascii="仿宋" w:hAnsi="仿宋" w:eastAsia="仿宋" w:cs="仿宋"/>
          <w:spacing w:val="17"/>
          <w:sz w:val="31"/>
          <w:szCs w:val="31"/>
        </w:rPr>
        <w:t>决策部署统筹安排的支出</w:t>
      </w:r>
      <w:r>
        <w:rPr>
          <w:rFonts w:hint="eastAsia" w:ascii="仿宋" w:hAnsi="仿宋" w:eastAsia="仿宋" w:cs="仿宋"/>
          <w:spacing w:val="17"/>
          <w:sz w:val="31"/>
          <w:szCs w:val="31"/>
          <w:lang w:eastAsia="zh-CN"/>
        </w:rPr>
        <w:t>；</w:t>
      </w:r>
    </w:p>
    <w:p w14:paraId="71DBDD53">
      <w:pPr>
        <w:spacing w:before="101" w:line="318" w:lineRule="auto"/>
        <w:ind w:firstLine="644"/>
        <w:rPr>
          <w:rFonts w:ascii="仿宋" w:hAnsi="仿宋" w:eastAsia="仿宋" w:cs="仿宋"/>
          <w:spacing w:val="17"/>
          <w:sz w:val="31"/>
          <w:szCs w:val="31"/>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四</w:t>
      </w:r>
      <w:r>
        <w:rPr>
          <w:rFonts w:hint="eastAsia" w:ascii="仿宋" w:hAnsi="仿宋" w:eastAsia="仿宋" w:cs="仿宋"/>
          <w:spacing w:val="17"/>
          <w:sz w:val="31"/>
          <w:szCs w:val="31"/>
          <w:lang w:eastAsia="zh-CN"/>
        </w:rPr>
        <w:t>）</w:t>
      </w:r>
      <w:r>
        <w:rPr>
          <w:rFonts w:ascii="仿宋" w:hAnsi="仿宋" w:eastAsia="仿宋" w:cs="仿宋"/>
          <w:spacing w:val="17"/>
          <w:sz w:val="31"/>
          <w:szCs w:val="31"/>
        </w:rPr>
        <w:t>向一般公共预算调出资金等转移性支出。</w:t>
      </w:r>
    </w:p>
    <w:p w14:paraId="63E9B5B8">
      <w:pPr>
        <w:spacing w:before="101" w:line="318" w:lineRule="auto"/>
        <w:ind w:firstLine="644"/>
        <w:rPr>
          <w:rFonts w:ascii="仿宋" w:hAnsi="仿宋" w:eastAsia="仿宋" w:cs="仿宋"/>
          <w:spacing w:val="17"/>
          <w:sz w:val="31"/>
          <w:szCs w:val="31"/>
        </w:rPr>
      </w:pPr>
      <w:r>
        <w:rPr>
          <w:rFonts w:hint="eastAsia" w:ascii="仿宋" w:hAnsi="仿宋" w:eastAsia="仿宋" w:cs="仿宋"/>
          <w:spacing w:val="17"/>
          <w:sz w:val="31"/>
          <w:szCs w:val="31"/>
          <w:lang w:val="en-US" w:eastAsia="zh-CN"/>
        </w:rPr>
        <w:t>县</w:t>
      </w:r>
      <w:r>
        <w:rPr>
          <w:rFonts w:ascii="仿宋" w:hAnsi="仿宋" w:eastAsia="仿宋" w:cs="仿宋"/>
          <w:spacing w:val="17"/>
          <w:sz w:val="31"/>
          <w:szCs w:val="31"/>
        </w:rPr>
        <w:t>级国有资本经营预算支出方向和重点，应当根据国家宏观经济政策需要以及不同时期国有企业改革发展任务</w:t>
      </w:r>
      <w:r>
        <w:rPr>
          <w:rFonts w:hint="eastAsia" w:ascii="仿宋" w:hAnsi="仿宋" w:eastAsia="仿宋" w:cs="仿宋"/>
          <w:spacing w:val="17"/>
          <w:sz w:val="31"/>
          <w:szCs w:val="31"/>
          <w:lang w:val="en-US" w:eastAsia="zh-CN"/>
        </w:rPr>
        <w:t>适</w:t>
      </w:r>
      <w:r>
        <w:rPr>
          <w:rFonts w:ascii="仿宋" w:hAnsi="仿宋" w:eastAsia="仿宋" w:cs="仿宋"/>
          <w:spacing w:val="17"/>
          <w:sz w:val="31"/>
          <w:szCs w:val="31"/>
        </w:rPr>
        <w:t>时进行调整。</w:t>
      </w:r>
    </w:p>
    <w:p w14:paraId="671FD96B">
      <w:pPr>
        <w:spacing w:before="47" w:line="221" w:lineRule="auto"/>
        <w:jc w:val="center"/>
        <w:outlineLvl w:val="2"/>
        <w:rPr>
          <w:rFonts w:ascii="黑体" w:hAnsi="黑体" w:eastAsia="黑体" w:cs="黑体"/>
          <w:sz w:val="31"/>
          <w:szCs w:val="31"/>
        </w:rPr>
      </w:pPr>
      <w:r>
        <w:rPr>
          <w:rFonts w:ascii="黑体" w:hAnsi="黑体" w:eastAsia="黑体" w:cs="黑体"/>
          <w:b/>
          <w:bCs/>
          <w:spacing w:val="-6"/>
          <w:sz w:val="31"/>
          <w:szCs w:val="31"/>
        </w:rPr>
        <w:t>第三章</w:t>
      </w:r>
      <w:r>
        <w:rPr>
          <w:rFonts w:ascii="黑体" w:hAnsi="黑体" w:eastAsia="黑体" w:cs="黑体"/>
          <w:spacing w:val="16"/>
          <w:sz w:val="31"/>
          <w:szCs w:val="31"/>
        </w:rPr>
        <w:t xml:space="preserve">  </w:t>
      </w:r>
      <w:r>
        <w:rPr>
          <w:rFonts w:ascii="黑体" w:hAnsi="黑体" w:eastAsia="黑体" w:cs="黑体"/>
          <w:b/>
          <w:bCs/>
          <w:spacing w:val="-6"/>
          <w:sz w:val="31"/>
          <w:szCs w:val="31"/>
        </w:rPr>
        <w:t>预算编制与批复</w:t>
      </w:r>
    </w:p>
    <w:p w14:paraId="785D4C18">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第十一条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级国有资本经营预算按年度编制，并按照国家宏观政策及省、市政府、</w:t>
      </w:r>
      <w:r>
        <w:rPr>
          <w:rFonts w:hint="eastAsia" w:ascii="仿宋" w:hAnsi="仿宋" w:eastAsia="仿宋" w:cs="仿宋"/>
          <w:spacing w:val="17"/>
          <w:sz w:val="31"/>
          <w:szCs w:val="31"/>
          <w:lang w:val="en-US" w:eastAsia="zh-CN"/>
        </w:rPr>
        <w:t>县政府</w:t>
      </w:r>
      <w:r>
        <w:rPr>
          <w:rFonts w:hint="eastAsia" w:ascii="仿宋" w:hAnsi="仿宋" w:eastAsia="仿宋" w:cs="仿宋"/>
          <w:spacing w:val="17"/>
          <w:sz w:val="31"/>
          <w:szCs w:val="31"/>
          <w:lang w:eastAsia="zh-CN"/>
        </w:rPr>
        <w:t>中期财政规划要求，编制中期</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级国有资本经营预算收支规划。</w:t>
      </w:r>
    </w:p>
    <w:p w14:paraId="506D6A49">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编制年度</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级国有资本经营预算草案的依据：</w:t>
      </w:r>
    </w:p>
    <w:p w14:paraId="2A3E3DE7">
      <w:pPr>
        <w:spacing w:before="101" w:line="318" w:lineRule="auto"/>
        <w:ind w:firstLine="644"/>
        <w:rPr>
          <w:rFonts w:hint="eastAsia" w:ascii="仿宋" w:hAnsi="仿宋" w:eastAsia="仿宋" w:cs="仿宋"/>
          <w:spacing w:val="17"/>
          <w:sz w:val="31"/>
          <w:szCs w:val="31"/>
          <w:lang w:val="en-US" w:eastAsia="en-US"/>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一</w:t>
      </w:r>
      <w:r>
        <w:rPr>
          <w:rFonts w:hint="eastAsia" w:ascii="仿宋" w:hAnsi="仿宋" w:eastAsia="仿宋" w:cs="仿宋"/>
          <w:spacing w:val="17"/>
          <w:sz w:val="31"/>
          <w:szCs w:val="31"/>
          <w:lang w:eastAsia="zh-CN"/>
        </w:rPr>
        <w:t>）《中华人民共和国预算法》及其实施条例；</w:t>
      </w:r>
    </w:p>
    <w:p w14:paraId="1A30CA85">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二</w:t>
      </w:r>
      <w:r>
        <w:rPr>
          <w:rFonts w:hint="eastAsia" w:ascii="仿宋" w:hAnsi="仿宋" w:eastAsia="仿宋" w:cs="仿宋"/>
          <w:spacing w:val="17"/>
          <w:sz w:val="31"/>
          <w:szCs w:val="31"/>
          <w:lang w:eastAsia="zh-CN"/>
        </w:rPr>
        <w:t>）黑龙江省人民政府、伊春市人民政府</w:t>
      </w:r>
      <w:r>
        <w:rPr>
          <w:rFonts w:hint="eastAsia" w:ascii="仿宋" w:hAnsi="仿宋" w:eastAsia="仿宋" w:cs="仿宋"/>
          <w:spacing w:val="17"/>
          <w:sz w:val="31"/>
          <w:szCs w:val="31"/>
          <w:lang w:val="en-US" w:eastAsia="zh-CN"/>
        </w:rPr>
        <w:t>和汤旺县人民政府</w:t>
      </w:r>
      <w:r>
        <w:rPr>
          <w:rFonts w:hint="eastAsia" w:ascii="仿宋" w:hAnsi="仿宋" w:eastAsia="仿宋" w:cs="仿宋"/>
          <w:spacing w:val="17"/>
          <w:sz w:val="31"/>
          <w:szCs w:val="31"/>
          <w:lang w:eastAsia="zh-CN"/>
        </w:rPr>
        <w:t>关于国有资本经营预算的要求；</w:t>
      </w:r>
    </w:p>
    <w:p w14:paraId="1C3100A8">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三</w:t>
      </w:r>
      <w:r>
        <w:rPr>
          <w:rFonts w:hint="eastAsia" w:ascii="仿宋" w:hAnsi="仿宋" w:eastAsia="仿宋" w:cs="仿宋"/>
          <w:spacing w:val="17"/>
          <w:sz w:val="31"/>
          <w:szCs w:val="31"/>
          <w:lang w:eastAsia="zh-CN"/>
        </w:rPr>
        <w:t>）国有资本经营预算支持的重点和方向；</w:t>
      </w:r>
    </w:p>
    <w:p w14:paraId="770727DC">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四</w:t>
      </w:r>
      <w:r>
        <w:rPr>
          <w:rFonts w:hint="eastAsia" w:ascii="仿宋" w:hAnsi="仿宋" w:eastAsia="仿宋" w:cs="仿宋"/>
          <w:spacing w:val="17"/>
          <w:sz w:val="31"/>
          <w:szCs w:val="31"/>
          <w:lang w:eastAsia="zh-CN"/>
        </w:rPr>
        <w:t>）中期</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级国有资本经营预算收支规划；</w:t>
      </w:r>
    </w:p>
    <w:p w14:paraId="69B25634">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五</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财政局关于年度预算的安排；</w:t>
      </w:r>
    </w:p>
    <w:p w14:paraId="4DBB61E2">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六</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属企业提报的国有资本经营预算建议草案；</w:t>
      </w:r>
    </w:p>
    <w:p w14:paraId="0E301E0C">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七</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属企业有关绩效评价结果。</w:t>
      </w:r>
    </w:p>
    <w:p w14:paraId="31D74F26">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第十二条</w:t>
      </w:r>
      <w:r>
        <w:rPr>
          <w:rFonts w:hint="eastAsia" w:ascii="仿宋" w:hAnsi="仿宋" w:eastAsia="仿宋" w:cs="仿宋"/>
          <w:b w:val="0"/>
          <w:bCs w:val="0"/>
          <w:spacing w:val="17"/>
          <w:sz w:val="31"/>
          <w:szCs w:val="31"/>
          <w:lang w:val="en-US" w:eastAsia="zh-CN"/>
        </w:rPr>
        <w:t xml:space="preserve"> 县</w:t>
      </w:r>
      <w:r>
        <w:rPr>
          <w:rFonts w:hint="eastAsia" w:ascii="仿宋" w:hAnsi="仿宋" w:eastAsia="仿宋" w:cs="仿宋"/>
          <w:spacing w:val="17"/>
          <w:sz w:val="31"/>
          <w:szCs w:val="31"/>
          <w:lang w:eastAsia="zh-CN"/>
        </w:rPr>
        <w:t>级国有资本经营预算收入由</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财政局组织</w:t>
      </w:r>
      <w:r>
        <w:rPr>
          <w:rFonts w:hint="eastAsia" w:ascii="仿宋" w:hAnsi="仿宋" w:eastAsia="仿宋" w:cs="仿宋"/>
          <w:spacing w:val="17"/>
          <w:sz w:val="31"/>
          <w:szCs w:val="31"/>
          <w:lang w:val="en-US" w:eastAsia="zh-CN"/>
        </w:rPr>
        <w:t>县级</w:t>
      </w:r>
      <w:r>
        <w:rPr>
          <w:rFonts w:hint="eastAsia" w:ascii="仿宋" w:hAnsi="仿宋" w:eastAsia="仿宋" w:cs="仿宋"/>
          <w:spacing w:val="17"/>
          <w:sz w:val="31"/>
          <w:szCs w:val="31"/>
          <w:lang w:eastAsia="zh-CN"/>
        </w:rPr>
        <w:t>预算单位以及直接向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财政局报送国有资本经营预算的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属企业，根据</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属企业年度盈利情况、国有资本收益收取政策和国有经济布局、结构调整计划等进行测算和编制。</w:t>
      </w:r>
    </w:p>
    <w:p w14:paraId="4B1DA910">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第十三条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级国有资本经营预算支出按照</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属企业提出支出项目计划，预算单位审核汇总，</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财政局综合平衡、统筹安排的原则进行编制。</w:t>
      </w:r>
    </w:p>
    <w:p w14:paraId="6CE02842">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第十四条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级国有资本经营预算支出按照下列程序进行编制：</w:t>
      </w:r>
    </w:p>
    <w:p w14:paraId="1BAA40FC">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一</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财政局按照预算编制的统一要求，根据</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级国有资本经营预算支出政策，印发编制</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级国有资本经营预算通知；</w:t>
      </w:r>
    </w:p>
    <w:p w14:paraId="4747B8B4">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二</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级预算单位根据</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财政局通知要求以及年度预算支出规模，组织监管(所属)企业编报支出计划建议；</w:t>
      </w:r>
    </w:p>
    <w:p w14:paraId="7E446C6B">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三</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属企业根据有关编报要求，编制本企业国有资本</w:t>
      </w:r>
      <w:r>
        <w:rPr>
          <w:rFonts w:hint="eastAsia" w:ascii="仿宋" w:hAnsi="仿宋" w:eastAsia="仿宋" w:cs="仿宋"/>
          <w:spacing w:val="17"/>
          <w:sz w:val="31"/>
          <w:szCs w:val="31"/>
          <w:lang w:val="en-US" w:eastAsia="zh-CN"/>
        </w:rPr>
        <w:t>经</w:t>
      </w:r>
      <w:r>
        <w:rPr>
          <w:rFonts w:hint="eastAsia" w:ascii="仿宋" w:hAnsi="仿宋" w:eastAsia="仿宋" w:cs="仿宋"/>
          <w:spacing w:val="17"/>
          <w:sz w:val="31"/>
          <w:szCs w:val="31"/>
          <w:lang w:eastAsia="zh-CN"/>
        </w:rPr>
        <w:t>营预算支出计划建议，报所属</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级预算单位，并抄报</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属企业编制国有资本经营预算支出项目计划报告</w:t>
      </w:r>
      <w:r>
        <w:rPr>
          <w:rFonts w:hint="eastAsia" w:ascii="仿宋" w:hAnsi="仿宋" w:eastAsia="仿宋" w:cs="仿宋"/>
          <w:spacing w:val="17"/>
          <w:sz w:val="31"/>
          <w:szCs w:val="31"/>
          <w:lang w:val="en-US" w:eastAsia="zh-CN"/>
        </w:rPr>
        <w:t>应</w:t>
      </w:r>
      <w:r>
        <w:rPr>
          <w:rFonts w:hint="eastAsia" w:ascii="仿宋" w:hAnsi="仿宋" w:eastAsia="仿宋" w:cs="仿宋"/>
          <w:spacing w:val="17"/>
          <w:sz w:val="31"/>
          <w:szCs w:val="31"/>
          <w:lang w:eastAsia="zh-CN"/>
        </w:rPr>
        <w:t>包括以下内容：</w:t>
      </w:r>
    </w:p>
    <w:p w14:paraId="4C885F7D">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1、</w:t>
      </w:r>
      <w:r>
        <w:rPr>
          <w:rFonts w:hint="eastAsia" w:ascii="仿宋" w:hAnsi="仿宋" w:eastAsia="仿宋" w:cs="仿宋"/>
          <w:spacing w:val="17"/>
          <w:sz w:val="31"/>
          <w:szCs w:val="31"/>
          <w:lang w:eastAsia="zh-CN"/>
        </w:rPr>
        <w:t>项目名称及主要内容；</w:t>
      </w:r>
    </w:p>
    <w:p w14:paraId="2466226A">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2、</w:t>
      </w:r>
      <w:r>
        <w:rPr>
          <w:rFonts w:hint="eastAsia" w:ascii="仿宋" w:hAnsi="仿宋" w:eastAsia="仿宋" w:cs="仿宋"/>
          <w:spacing w:val="17"/>
          <w:sz w:val="31"/>
          <w:szCs w:val="31"/>
          <w:lang w:eastAsia="zh-CN"/>
        </w:rPr>
        <w:t>项目承担企业基本情况（包括行业分布和企业国有资本经营状况等）；</w:t>
      </w:r>
    </w:p>
    <w:p w14:paraId="329DB23A">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3、</w:t>
      </w:r>
      <w:r>
        <w:rPr>
          <w:rFonts w:hint="eastAsia" w:ascii="仿宋" w:hAnsi="仿宋" w:eastAsia="仿宋" w:cs="仿宋"/>
          <w:spacing w:val="17"/>
          <w:sz w:val="31"/>
          <w:szCs w:val="31"/>
          <w:lang w:eastAsia="zh-CN"/>
        </w:rPr>
        <w:t>项目实施的主要目的和绩效目标；</w:t>
      </w:r>
    </w:p>
    <w:p w14:paraId="243C39A4">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4、</w:t>
      </w:r>
      <w:r>
        <w:rPr>
          <w:rFonts w:hint="eastAsia" w:ascii="仿宋" w:hAnsi="仿宋" w:eastAsia="仿宋" w:cs="仿宋"/>
          <w:spacing w:val="17"/>
          <w:sz w:val="31"/>
          <w:szCs w:val="31"/>
          <w:lang w:eastAsia="zh-CN"/>
        </w:rPr>
        <w:t>资本性支出项目包括立项的依据、项目可行性分析、项目投资方案与资金筹措方案、项目实施进度与年度计划安排、项目经济效益和社会效益分析等；</w:t>
      </w:r>
    </w:p>
    <w:p w14:paraId="1F806D02">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5、</w:t>
      </w:r>
      <w:r>
        <w:rPr>
          <w:rFonts w:hint="eastAsia" w:ascii="仿宋" w:hAnsi="仿宋" w:eastAsia="仿宋" w:cs="仿宋"/>
          <w:spacing w:val="17"/>
          <w:sz w:val="31"/>
          <w:szCs w:val="31"/>
          <w:lang w:eastAsia="zh-CN"/>
        </w:rPr>
        <w:t>费用性支出项目包括立项的依据、项目具体支出范围、项目资金测算依据、标准和资金需求测算过程等，属于连续支出的项目原则上还需提供上一年度经依法审计的报</w:t>
      </w:r>
      <w:r>
        <w:rPr>
          <w:rFonts w:hint="eastAsia" w:ascii="仿宋" w:hAnsi="仿宋" w:eastAsia="仿宋" w:cs="仿宋"/>
          <w:spacing w:val="17"/>
          <w:sz w:val="31"/>
          <w:szCs w:val="31"/>
          <w:lang w:val="en-US" w:eastAsia="zh-CN"/>
        </w:rPr>
        <w:t>告；</w:t>
      </w:r>
    </w:p>
    <w:p w14:paraId="2CE297B8">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6、</w:t>
      </w:r>
      <w:r>
        <w:rPr>
          <w:rFonts w:hint="eastAsia" w:ascii="仿宋" w:hAnsi="仿宋" w:eastAsia="仿宋" w:cs="仿宋"/>
          <w:spacing w:val="17"/>
          <w:sz w:val="31"/>
          <w:szCs w:val="31"/>
          <w:lang w:eastAsia="zh-CN"/>
        </w:rPr>
        <w:t>项目绩效考核及其有关责任的落实；</w:t>
      </w:r>
    </w:p>
    <w:p w14:paraId="136F7DC1">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7、</w:t>
      </w:r>
      <w:r>
        <w:rPr>
          <w:rFonts w:hint="eastAsia" w:ascii="仿宋" w:hAnsi="仿宋" w:eastAsia="仿宋" w:cs="仿宋"/>
          <w:spacing w:val="17"/>
          <w:sz w:val="31"/>
          <w:szCs w:val="31"/>
          <w:lang w:eastAsia="zh-CN"/>
        </w:rPr>
        <w:t>项目承担企业需提供的其他相关材料。</w:t>
      </w:r>
    </w:p>
    <w:p w14:paraId="4D8E5AFF">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四</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级预算单位依据有关规定以及</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属企业的结构调整和行业发展规划，对监管（所属）企业编报的支出计划建议进行审核汇总，结合收入预算，编制预算建议草案报送</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财政局。直接向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财政局报送国有资本经营预算的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属企业编制本企业国有资本经营预算支出建议草案报</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w:t>
      </w:r>
      <w:r>
        <w:rPr>
          <w:rFonts w:hint="eastAsia" w:ascii="仿宋" w:hAnsi="仿宋" w:eastAsia="仿宋" w:cs="仿宋"/>
          <w:spacing w:val="17"/>
          <w:sz w:val="31"/>
          <w:szCs w:val="31"/>
          <w:lang w:val="en-US" w:eastAsia="zh-CN"/>
        </w:rPr>
        <w:t>包</w:t>
      </w:r>
      <w:r>
        <w:rPr>
          <w:rFonts w:hint="eastAsia" w:ascii="仿宋" w:hAnsi="仿宋" w:eastAsia="仿宋" w:cs="仿宋"/>
          <w:spacing w:val="17"/>
          <w:sz w:val="31"/>
          <w:szCs w:val="31"/>
          <w:lang w:eastAsia="zh-CN"/>
        </w:rPr>
        <w:t>括以下内容：</w:t>
      </w:r>
    </w:p>
    <w:p w14:paraId="677EDF9B">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1</w:t>
      </w:r>
      <w:r>
        <w:rPr>
          <w:rFonts w:hint="eastAsia" w:ascii="仿宋" w:hAnsi="仿宋" w:eastAsia="仿宋" w:cs="仿宋"/>
          <w:spacing w:val="17"/>
          <w:sz w:val="31"/>
          <w:szCs w:val="31"/>
          <w:lang w:eastAsia="zh-CN"/>
        </w:rPr>
        <w:t>）编制报告。（详见附件</w:t>
      </w:r>
      <w:r>
        <w:rPr>
          <w:rFonts w:hint="eastAsia" w:ascii="仿宋" w:hAnsi="仿宋" w:eastAsia="仿宋" w:cs="仿宋"/>
          <w:spacing w:val="17"/>
          <w:sz w:val="31"/>
          <w:szCs w:val="31"/>
          <w:lang w:val="en-US" w:eastAsia="zh-CN"/>
        </w:rPr>
        <w:t>1</w:t>
      </w:r>
      <w:r>
        <w:rPr>
          <w:rFonts w:hint="eastAsia" w:ascii="仿宋" w:hAnsi="仿宋" w:eastAsia="仿宋" w:cs="仿宋"/>
          <w:spacing w:val="17"/>
          <w:sz w:val="31"/>
          <w:szCs w:val="31"/>
          <w:lang w:eastAsia="zh-CN"/>
        </w:rPr>
        <w:t>）</w:t>
      </w:r>
    </w:p>
    <w:p w14:paraId="54C86D56">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1、</w:t>
      </w:r>
      <w:r>
        <w:rPr>
          <w:rFonts w:hint="eastAsia" w:ascii="仿宋" w:hAnsi="仿宋" w:eastAsia="仿宋" w:cs="仿宋"/>
          <w:spacing w:val="17"/>
          <w:sz w:val="31"/>
          <w:szCs w:val="31"/>
          <w:lang w:eastAsia="zh-CN"/>
        </w:rPr>
        <w:t>企业的基本情况（包括企业户数、经营状况、行业分布和企业国有资本经营状况等）；</w:t>
      </w:r>
    </w:p>
    <w:p w14:paraId="7227A8F0">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2、</w:t>
      </w:r>
      <w:r>
        <w:rPr>
          <w:rFonts w:hint="eastAsia" w:ascii="仿宋" w:hAnsi="仿宋" w:eastAsia="仿宋" w:cs="仿宋"/>
          <w:spacing w:val="17"/>
          <w:sz w:val="31"/>
          <w:szCs w:val="31"/>
          <w:lang w:eastAsia="zh-CN"/>
        </w:rPr>
        <w:t>年度预算支出规模及分类；</w:t>
      </w:r>
    </w:p>
    <w:p w14:paraId="0C801C4C">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3、年度预算国有资本经营预算支出所要达到的政策目标、绩</w:t>
      </w:r>
      <w:r>
        <w:rPr>
          <w:rFonts w:hint="eastAsia" w:ascii="仿宋" w:hAnsi="仿宋" w:eastAsia="仿宋" w:cs="仿宋"/>
          <w:spacing w:val="17"/>
          <w:sz w:val="31"/>
          <w:szCs w:val="31"/>
          <w:lang w:eastAsia="zh-CN"/>
        </w:rPr>
        <w:t>效目标；</w:t>
      </w:r>
    </w:p>
    <w:p w14:paraId="6E04707B">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4、</w:t>
      </w:r>
      <w:r>
        <w:rPr>
          <w:rFonts w:hint="eastAsia" w:ascii="仿宋" w:hAnsi="仿宋" w:eastAsia="仿宋" w:cs="仿宋"/>
          <w:spacing w:val="17"/>
          <w:sz w:val="31"/>
          <w:szCs w:val="31"/>
          <w:lang w:eastAsia="zh-CN"/>
        </w:rPr>
        <w:t>各项支出预算编制的主要依据；</w:t>
      </w:r>
    </w:p>
    <w:p w14:paraId="304DA211">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5、</w:t>
      </w:r>
      <w:r>
        <w:rPr>
          <w:rFonts w:hint="eastAsia" w:ascii="仿宋" w:hAnsi="仿宋" w:eastAsia="仿宋" w:cs="仿宋"/>
          <w:spacing w:val="17"/>
          <w:sz w:val="31"/>
          <w:szCs w:val="31"/>
          <w:lang w:eastAsia="zh-CN"/>
        </w:rPr>
        <w:t>项目绩效评价及其有关责任的落实；</w:t>
      </w:r>
    </w:p>
    <w:p w14:paraId="052673A2">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6、</w:t>
      </w:r>
      <w:r>
        <w:rPr>
          <w:rFonts w:hint="eastAsia" w:ascii="仿宋" w:hAnsi="仿宋" w:eastAsia="仿宋" w:cs="仿宋"/>
          <w:spacing w:val="17"/>
          <w:sz w:val="31"/>
          <w:szCs w:val="31"/>
          <w:lang w:eastAsia="zh-CN"/>
        </w:rPr>
        <w:t>项目需提供的其他相关材料；</w:t>
      </w:r>
    </w:p>
    <w:p w14:paraId="01D49CAE">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7、</w:t>
      </w:r>
      <w:r>
        <w:rPr>
          <w:rFonts w:hint="eastAsia" w:ascii="仿宋" w:hAnsi="仿宋" w:eastAsia="仿宋" w:cs="仿宋"/>
          <w:spacing w:val="17"/>
          <w:sz w:val="31"/>
          <w:szCs w:val="31"/>
          <w:lang w:eastAsia="zh-CN"/>
        </w:rPr>
        <w:t>企业编制的组织及企业编报情况。</w:t>
      </w:r>
    </w:p>
    <w:p w14:paraId="39CA3F73">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2）县</w:t>
      </w:r>
      <w:r>
        <w:rPr>
          <w:rFonts w:hint="eastAsia" w:ascii="仿宋" w:hAnsi="仿宋" w:eastAsia="仿宋" w:cs="仿宋"/>
          <w:spacing w:val="17"/>
          <w:sz w:val="31"/>
          <w:szCs w:val="31"/>
          <w:lang w:eastAsia="zh-CN"/>
        </w:rPr>
        <w:t>级预算单位国有资本经营预算表（详见附件2）</w:t>
      </w:r>
    </w:p>
    <w:p w14:paraId="5144D105">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1、</w:t>
      </w:r>
      <w:r>
        <w:rPr>
          <w:rFonts w:hint="eastAsia" w:ascii="仿宋" w:hAnsi="仿宋" w:eastAsia="仿宋" w:cs="仿宋"/>
          <w:spacing w:val="17"/>
          <w:sz w:val="31"/>
          <w:szCs w:val="31"/>
          <w:lang w:eastAsia="zh-CN"/>
        </w:rPr>
        <w:t>国有资本经营预算收支表；</w:t>
      </w:r>
    </w:p>
    <w:p w14:paraId="77A00158">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2、</w:t>
      </w:r>
      <w:r>
        <w:rPr>
          <w:rFonts w:hint="eastAsia" w:ascii="仿宋" w:hAnsi="仿宋" w:eastAsia="仿宋" w:cs="仿宋"/>
          <w:spacing w:val="17"/>
          <w:sz w:val="31"/>
          <w:szCs w:val="31"/>
          <w:lang w:eastAsia="zh-CN"/>
        </w:rPr>
        <w:t>国有资本经营预算收入表；</w:t>
      </w:r>
    </w:p>
    <w:p w14:paraId="507E3594">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3、</w:t>
      </w:r>
      <w:r>
        <w:rPr>
          <w:rFonts w:hint="eastAsia" w:ascii="仿宋" w:hAnsi="仿宋" w:eastAsia="仿宋" w:cs="仿宋"/>
          <w:spacing w:val="17"/>
          <w:sz w:val="31"/>
          <w:szCs w:val="31"/>
          <w:lang w:eastAsia="zh-CN"/>
        </w:rPr>
        <w:t>国有资本经营预算支出表；</w:t>
      </w:r>
    </w:p>
    <w:p w14:paraId="40A2D1C6">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4、</w:t>
      </w:r>
      <w:r>
        <w:rPr>
          <w:rFonts w:hint="eastAsia" w:ascii="仿宋" w:hAnsi="仿宋" w:eastAsia="仿宋" w:cs="仿宋"/>
          <w:spacing w:val="17"/>
          <w:sz w:val="31"/>
          <w:szCs w:val="31"/>
          <w:lang w:eastAsia="zh-CN"/>
        </w:rPr>
        <w:t>国有资本经营预算基础信息表；</w:t>
      </w:r>
    </w:p>
    <w:p w14:paraId="1C89B976">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val="en-US" w:eastAsia="zh-CN"/>
        </w:rPr>
        <w:t>5、</w:t>
      </w:r>
      <w:r>
        <w:rPr>
          <w:rFonts w:hint="eastAsia" w:ascii="仿宋" w:hAnsi="仿宋" w:eastAsia="仿宋" w:cs="仿宋"/>
          <w:spacing w:val="17"/>
          <w:sz w:val="31"/>
          <w:szCs w:val="31"/>
          <w:lang w:eastAsia="zh-CN"/>
        </w:rPr>
        <w:t>国有资本经营预算支出绩效目标表。</w:t>
      </w:r>
    </w:p>
    <w:p w14:paraId="0CFFED34">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3</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属企业编报的国有资本经营预算支出项目计划。</w:t>
      </w:r>
    </w:p>
    <w:p w14:paraId="5B8BA2B3">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五</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财政局根据国家、省、</w:t>
      </w:r>
      <w:r>
        <w:rPr>
          <w:rFonts w:hint="eastAsia" w:ascii="仿宋" w:hAnsi="仿宋" w:eastAsia="仿宋" w:cs="仿宋"/>
          <w:spacing w:val="17"/>
          <w:sz w:val="31"/>
          <w:szCs w:val="31"/>
          <w:lang w:val="en-US" w:eastAsia="zh-CN"/>
        </w:rPr>
        <w:t>市及县的</w:t>
      </w:r>
      <w:r>
        <w:rPr>
          <w:rFonts w:hint="eastAsia" w:ascii="仿宋" w:hAnsi="仿宋" w:eastAsia="仿宋" w:cs="仿宋"/>
          <w:spacing w:val="17"/>
          <w:sz w:val="31"/>
          <w:szCs w:val="31"/>
          <w:lang w:eastAsia="zh-CN"/>
        </w:rPr>
        <w:t>宏观调控目标，并结合企业实际情况以及绩效评价等情况，在对</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级预算单位及有关</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属企业申报的预算建议草案进行审核的基础上，按照“量入为出、收支平衡、轻重缓急”的原则，编制</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级国有资本经营预算草案。</w:t>
      </w:r>
    </w:p>
    <w:p w14:paraId="4EAF2927">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第十五条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财政局按程序将</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级国有资本经营预算草案提交</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人民代表大会审议，汇总全</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国有资本经营预算报省财政厅。</w:t>
      </w:r>
    </w:p>
    <w:p w14:paraId="2641D741">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第十六条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级国有资本经营预算经</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人大审议批准后，</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财政局应当在20日内向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级预算单位和直接向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w:t>
      </w:r>
      <w:r>
        <w:rPr>
          <w:rFonts w:hint="eastAsia" w:ascii="仿宋" w:hAnsi="仿宋" w:eastAsia="仿宋" w:cs="仿宋"/>
          <w:spacing w:val="17"/>
          <w:sz w:val="31"/>
          <w:szCs w:val="31"/>
          <w:lang w:val="en-US" w:eastAsia="zh-CN"/>
        </w:rPr>
        <w:t>报送</w:t>
      </w:r>
      <w:r>
        <w:rPr>
          <w:rFonts w:hint="eastAsia" w:ascii="仿宋" w:hAnsi="仿宋" w:eastAsia="仿宋" w:cs="仿宋"/>
          <w:spacing w:val="17"/>
          <w:sz w:val="31"/>
          <w:szCs w:val="31"/>
          <w:lang w:eastAsia="zh-CN"/>
        </w:rPr>
        <w:t>国有资本经营预算的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属企业批复预算。</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级预算单位应当在接到</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财政局批复的本单位预算起15日内批复监管（所属）企业，并抄送</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财政局备案。</w:t>
      </w:r>
    </w:p>
    <w:p w14:paraId="7DC9A44A">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第十七条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级国有资本经营预算支出，按其功能分类应当编制到项，经济分类编制到款。</w:t>
      </w:r>
    </w:p>
    <w:p w14:paraId="6CC7D233">
      <w:pPr>
        <w:spacing w:line="219" w:lineRule="auto"/>
        <w:jc w:val="center"/>
        <w:outlineLvl w:val="2"/>
        <w:rPr>
          <w:rFonts w:ascii="黑体" w:hAnsi="黑体" w:eastAsia="黑体" w:cs="黑体"/>
          <w:sz w:val="31"/>
          <w:szCs w:val="31"/>
        </w:rPr>
      </w:pPr>
      <w:r>
        <w:rPr>
          <w:rFonts w:ascii="黑体" w:hAnsi="黑体" w:eastAsia="黑体" w:cs="黑体"/>
          <w:b/>
          <w:bCs/>
          <w:spacing w:val="1"/>
          <w:sz w:val="31"/>
          <w:szCs w:val="31"/>
        </w:rPr>
        <w:t>第四章</w:t>
      </w:r>
      <w:r>
        <w:rPr>
          <w:rFonts w:ascii="黑体" w:hAnsi="黑体" w:eastAsia="黑体" w:cs="黑体"/>
          <w:spacing w:val="1"/>
          <w:sz w:val="31"/>
          <w:szCs w:val="31"/>
        </w:rPr>
        <w:t xml:space="preserve">  </w:t>
      </w:r>
      <w:r>
        <w:rPr>
          <w:rFonts w:ascii="黑体" w:hAnsi="黑体" w:eastAsia="黑体" w:cs="黑体"/>
          <w:b/>
          <w:bCs/>
          <w:spacing w:val="1"/>
          <w:sz w:val="31"/>
          <w:szCs w:val="31"/>
        </w:rPr>
        <w:t>预算执行和调整</w:t>
      </w:r>
    </w:p>
    <w:p w14:paraId="06A0275D">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第十八条</w:t>
      </w:r>
      <w:r>
        <w:rPr>
          <w:rFonts w:hint="eastAsia" w:ascii="仿宋" w:hAnsi="仿宋" w:eastAsia="仿宋" w:cs="仿宋"/>
          <w:b w:val="0"/>
          <w:bCs w:val="0"/>
          <w:spacing w:val="17"/>
          <w:sz w:val="31"/>
          <w:szCs w:val="31"/>
          <w:lang w:val="en-US" w:eastAsia="zh-CN"/>
        </w:rPr>
        <w:t xml:space="preserve"> 县</w:t>
      </w:r>
      <w:r>
        <w:rPr>
          <w:rFonts w:hint="eastAsia" w:ascii="仿宋" w:hAnsi="仿宋" w:eastAsia="仿宋" w:cs="仿宋"/>
          <w:spacing w:val="17"/>
          <w:sz w:val="31"/>
          <w:szCs w:val="31"/>
          <w:lang w:eastAsia="zh-CN"/>
        </w:rPr>
        <w:t>财政局根据国有资本经营预算收支政策和中长期国有资本收支规划，印发年度</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属企业国有资本收益申报通知。</w:t>
      </w:r>
    </w:p>
    <w:p w14:paraId="2CBBF098">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第十九条</w:t>
      </w:r>
      <w:r>
        <w:rPr>
          <w:rFonts w:hint="eastAsia" w:ascii="仿宋" w:hAnsi="仿宋" w:eastAsia="仿宋" w:cs="仿宋"/>
          <w:b/>
          <w:bCs/>
          <w:spacing w:val="17"/>
          <w:sz w:val="31"/>
          <w:szCs w:val="31"/>
          <w:lang w:val="en-US" w:eastAsia="zh-CN"/>
        </w:rPr>
        <w:t xml:space="preserve"> </w:t>
      </w:r>
      <w:r>
        <w:rPr>
          <w:rFonts w:hint="eastAsia" w:ascii="仿宋" w:hAnsi="仿宋" w:eastAsia="仿宋" w:cs="仿宋"/>
          <w:spacing w:val="17"/>
          <w:sz w:val="31"/>
          <w:szCs w:val="31"/>
          <w:lang w:eastAsia="zh-CN"/>
        </w:rPr>
        <w:t>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级预算单位根据</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财政局通知要求，组织监管（</w:t>
      </w:r>
      <w:r>
        <w:rPr>
          <w:rFonts w:hint="eastAsia" w:ascii="仿宋" w:hAnsi="仿宋" w:eastAsia="仿宋" w:cs="仿宋"/>
          <w:spacing w:val="17"/>
          <w:sz w:val="31"/>
          <w:szCs w:val="31"/>
          <w:lang w:val="en-US" w:eastAsia="zh-CN"/>
        </w:rPr>
        <w:t>所属</w:t>
      </w:r>
      <w:r>
        <w:rPr>
          <w:rFonts w:hint="eastAsia" w:ascii="仿宋" w:hAnsi="仿宋" w:eastAsia="仿宋" w:cs="仿宋"/>
          <w:spacing w:val="17"/>
          <w:sz w:val="31"/>
          <w:szCs w:val="31"/>
          <w:lang w:eastAsia="zh-CN"/>
        </w:rPr>
        <w:t>）企业申报国有资本收益。</w:t>
      </w:r>
    </w:p>
    <w:p w14:paraId="79C73FF6">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第二十条</w:t>
      </w:r>
      <w:r>
        <w:rPr>
          <w:rFonts w:hint="eastAsia" w:ascii="仿宋" w:hAnsi="仿宋" w:eastAsia="仿宋" w:cs="仿宋"/>
          <w:b/>
          <w:bCs/>
          <w:spacing w:val="17"/>
          <w:sz w:val="31"/>
          <w:szCs w:val="31"/>
          <w:lang w:val="en-US"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属企业上交国有资本收益应当按通知要求及时向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级预算单位或向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财政局申报，并如实填写</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属企业国有资本收益申报表（详见附件3）。按照政策规定免交收益的，需要零申报。具体申报时间及要求如下：</w:t>
      </w:r>
    </w:p>
    <w:p w14:paraId="7BD0E727">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一</w:t>
      </w:r>
      <w:r>
        <w:rPr>
          <w:rFonts w:hint="eastAsia" w:ascii="仿宋" w:hAnsi="仿宋" w:eastAsia="仿宋" w:cs="仿宋"/>
          <w:spacing w:val="17"/>
          <w:sz w:val="31"/>
          <w:szCs w:val="31"/>
          <w:lang w:eastAsia="zh-CN"/>
        </w:rPr>
        <w:t>）应交利润，在年度终了后</w:t>
      </w:r>
      <w:r>
        <w:rPr>
          <w:rFonts w:hint="eastAsia" w:ascii="仿宋" w:hAnsi="仿宋" w:eastAsia="仿宋" w:cs="仿宋"/>
          <w:spacing w:val="17"/>
          <w:sz w:val="31"/>
          <w:szCs w:val="31"/>
          <w:lang w:val="en-US" w:eastAsia="zh-CN"/>
        </w:rPr>
        <w:t>5个月</w:t>
      </w:r>
      <w:r>
        <w:rPr>
          <w:rFonts w:hint="eastAsia" w:ascii="仿宋" w:hAnsi="仿宋" w:eastAsia="仿宋" w:cs="仿宋"/>
          <w:spacing w:val="17"/>
          <w:sz w:val="31"/>
          <w:szCs w:val="31"/>
          <w:lang w:eastAsia="zh-CN"/>
        </w:rPr>
        <w:t>内，由</w:t>
      </w:r>
      <w:r>
        <w:rPr>
          <w:rFonts w:hint="eastAsia" w:ascii="仿宋" w:hAnsi="仿宋" w:eastAsia="仿宋" w:cs="仿宋"/>
          <w:spacing w:val="17"/>
          <w:sz w:val="31"/>
          <w:szCs w:val="31"/>
          <w:lang w:val="en-US" w:eastAsia="zh-CN"/>
        </w:rPr>
        <w:t>细</w:t>
      </w:r>
      <w:r>
        <w:rPr>
          <w:rFonts w:hint="eastAsia" w:ascii="仿宋" w:hAnsi="仿宋" w:eastAsia="仿宋" w:cs="仿宋"/>
          <w:spacing w:val="17"/>
          <w:sz w:val="31"/>
          <w:szCs w:val="31"/>
          <w:lang w:eastAsia="zh-CN"/>
        </w:rPr>
        <w:t>属企业（一级企业）一次申报。国有独资企业和国有独资公司以年度合并财务报表反映的上年度归属于母公司所有者的净利润</w:t>
      </w:r>
      <w:r>
        <w:rPr>
          <w:rFonts w:hint="eastAsia" w:ascii="仿宋" w:hAnsi="仿宋" w:eastAsia="仿宋" w:cs="仿宋"/>
          <w:spacing w:val="17"/>
          <w:sz w:val="31"/>
          <w:szCs w:val="31"/>
          <w:lang w:val="en-US" w:eastAsia="zh-CN"/>
        </w:rPr>
        <w:t>为</w:t>
      </w:r>
      <w:r>
        <w:rPr>
          <w:rFonts w:hint="eastAsia" w:ascii="仿宋" w:hAnsi="仿宋" w:eastAsia="仿宋" w:cs="仿宋"/>
          <w:spacing w:val="17"/>
          <w:sz w:val="31"/>
          <w:szCs w:val="31"/>
          <w:lang w:eastAsia="zh-CN"/>
        </w:rPr>
        <w:t>基础，依法扣除以前年度未弥补亏损、提取的法定公积金等后，按规定的比例计算上交收益，并附送经依法审计的年度合并财务会计报告；</w:t>
      </w:r>
    </w:p>
    <w:p w14:paraId="46DBF869">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二</w:t>
      </w:r>
      <w:r>
        <w:rPr>
          <w:rFonts w:hint="eastAsia" w:ascii="仿宋" w:hAnsi="仿宋" w:eastAsia="仿宋" w:cs="仿宋"/>
          <w:spacing w:val="17"/>
          <w:sz w:val="31"/>
          <w:szCs w:val="31"/>
          <w:lang w:eastAsia="zh-CN"/>
        </w:rPr>
        <w:t>）国有股股利、股息，在股东会或者股东大会（未设立股东会或者股东大会的为董事会，下同）表决日起30个工作日内，股利、股息支付日前，由</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属企业或</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级预算单位据实申报，并附送经依法审计的年度合并财务会计报告和股东会或者股东大会决议通过的利润分配方案；</w:t>
      </w:r>
    </w:p>
    <w:p w14:paraId="52577C7C">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三</w:t>
      </w:r>
      <w:r>
        <w:rPr>
          <w:rFonts w:hint="eastAsia" w:ascii="仿宋" w:hAnsi="仿宋" w:eastAsia="仿宋" w:cs="仿宋"/>
          <w:spacing w:val="17"/>
          <w:sz w:val="31"/>
          <w:szCs w:val="31"/>
          <w:lang w:eastAsia="zh-CN"/>
        </w:rPr>
        <w:t>）国有产权转让收入，在签订产权转让合同之日起30个工作日内，由</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属企业或</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级预算单位据实申报，并附送产权转让合同和经核准或备案的资产评估报告；</w:t>
      </w:r>
    </w:p>
    <w:p w14:paraId="60AE3080">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四</w:t>
      </w:r>
      <w:r>
        <w:rPr>
          <w:rFonts w:hint="eastAsia" w:ascii="仿宋" w:hAnsi="仿宋" w:eastAsia="仿宋" w:cs="仿宋"/>
          <w:spacing w:val="17"/>
          <w:sz w:val="31"/>
          <w:szCs w:val="31"/>
          <w:lang w:eastAsia="zh-CN"/>
        </w:rPr>
        <w:t>）企业清算收入，在清算组或者管理人编制剩余财产分配方案之日起30个工作日内，由清算组、管理人或</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级预算单位据实申报，并附送经依法审计的清算报告，涉及资产评估项目应附送经核准或备案的资产评估报告；</w:t>
      </w:r>
    </w:p>
    <w:p w14:paraId="0A4400D3">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五</w:t>
      </w:r>
      <w:r>
        <w:rPr>
          <w:rFonts w:hint="eastAsia" w:ascii="仿宋" w:hAnsi="仿宋" w:eastAsia="仿宋" w:cs="仿宋"/>
          <w:spacing w:val="17"/>
          <w:sz w:val="31"/>
          <w:szCs w:val="31"/>
          <w:lang w:eastAsia="zh-CN"/>
        </w:rPr>
        <w:t>）其他国有资本收益，在收益确定后30个工作日内，由有关单位据实申报，并附送有关经济事项发生和金额确认的资料。</w:t>
      </w:r>
    </w:p>
    <w:p w14:paraId="6EDE00CF">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第二十一条</w:t>
      </w:r>
      <w:r>
        <w:rPr>
          <w:rFonts w:hint="eastAsia" w:ascii="仿宋" w:hAnsi="仿宋" w:eastAsia="仿宋" w:cs="仿宋"/>
          <w:spacing w:val="17"/>
          <w:sz w:val="31"/>
          <w:szCs w:val="31"/>
          <w:lang w:eastAsia="zh-CN"/>
        </w:rPr>
        <w:t xml:space="preserve"> 国有独资企业和国有独资公司上交年度税后净利润的比例，按照市场竞争、金融服务、功能保障等不同国有企业功能，分为以下三档执行：</w:t>
      </w:r>
    </w:p>
    <w:p w14:paraId="203120A5">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一</w:t>
      </w:r>
      <w:r>
        <w:rPr>
          <w:rFonts w:hint="eastAsia" w:ascii="仿宋" w:hAnsi="仿宋" w:eastAsia="仿宋" w:cs="仿宋"/>
          <w:spacing w:val="17"/>
          <w:sz w:val="31"/>
          <w:szCs w:val="31"/>
          <w:lang w:eastAsia="zh-CN"/>
        </w:rPr>
        <w:t>）一般竞争性领域企业、金融企业为20%；</w:t>
      </w:r>
    </w:p>
    <w:p w14:paraId="7F5E7ADF">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二</w:t>
      </w:r>
      <w:r>
        <w:rPr>
          <w:rFonts w:hint="eastAsia" w:ascii="仿宋" w:hAnsi="仿宋" w:eastAsia="仿宋" w:cs="仿宋"/>
          <w:spacing w:val="17"/>
          <w:sz w:val="31"/>
          <w:szCs w:val="31"/>
          <w:lang w:eastAsia="zh-CN"/>
        </w:rPr>
        <w:t>）文化企业、党政机关和事业单位所属企业等为10%；</w:t>
      </w:r>
    </w:p>
    <w:p w14:paraId="0F9CF5C6">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三</w:t>
      </w:r>
      <w:r>
        <w:rPr>
          <w:rFonts w:hint="eastAsia" w:ascii="仿宋" w:hAnsi="仿宋" w:eastAsia="仿宋" w:cs="仿宋"/>
          <w:spacing w:val="17"/>
          <w:sz w:val="31"/>
          <w:szCs w:val="31"/>
          <w:lang w:eastAsia="zh-CN"/>
        </w:rPr>
        <w:t>）公安、监狱等特殊性企业，公益类企业暂免上交。</w:t>
      </w:r>
    </w:p>
    <w:p w14:paraId="7E1CB194">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上述企业类型和收取比例根据实际情况和社会发展需要进行调整的，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财政局会同</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国资局等</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政府授权履行出资人职责的机构（部门）提出国有独资企业和国有独资公司应交利润的上交比例建议，报</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政府批准后执行。新增企业适用收取比例，由</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财政局会同</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政府授权履行出资人职责的机构(部门)参照同类型国有企业审核确认，并报</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政府批准后执行。</w:t>
      </w:r>
    </w:p>
    <w:p w14:paraId="628CCE5E">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第二十二条</w:t>
      </w:r>
      <w:r>
        <w:rPr>
          <w:rFonts w:hint="eastAsia" w:ascii="仿宋" w:hAnsi="仿宋" w:eastAsia="仿宋" w:cs="仿宋"/>
          <w:spacing w:val="17"/>
          <w:sz w:val="31"/>
          <w:szCs w:val="31"/>
          <w:lang w:eastAsia="zh-CN"/>
        </w:rPr>
        <w:t xml:space="preserve"> 国有独资企业和国有独资公司调整以前年度损益的，应相应补交或抵减应交利润。</w:t>
      </w:r>
    </w:p>
    <w:p w14:paraId="41B83CEF">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第二十三条</w:t>
      </w:r>
      <w:r>
        <w:rPr>
          <w:rFonts w:hint="eastAsia" w:ascii="仿宋" w:hAnsi="仿宋" w:eastAsia="仿宋" w:cs="仿宋"/>
          <w:spacing w:val="17"/>
          <w:sz w:val="31"/>
          <w:szCs w:val="31"/>
          <w:lang w:eastAsia="zh-CN"/>
        </w:rPr>
        <w:t xml:space="preserve"> 国有控股企业有可供分配利润但拟不分配或分配比例未达到国有独资企业和国有独资公司收益上交</w:t>
      </w:r>
      <w:r>
        <w:rPr>
          <w:rFonts w:hint="eastAsia" w:ascii="仿宋" w:hAnsi="仿宋" w:eastAsia="仿宋" w:cs="仿宋"/>
          <w:spacing w:val="17"/>
          <w:sz w:val="31"/>
          <w:szCs w:val="31"/>
          <w:lang w:val="en-US" w:eastAsia="zh-CN"/>
        </w:rPr>
        <w:t>水</w:t>
      </w:r>
      <w:r>
        <w:rPr>
          <w:rFonts w:hint="eastAsia" w:ascii="仿宋" w:hAnsi="仿宋" w:eastAsia="仿宋" w:cs="仿宋"/>
          <w:spacing w:val="17"/>
          <w:sz w:val="31"/>
          <w:szCs w:val="31"/>
          <w:lang w:eastAsia="zh-CN"/>
        </w:rPr>
        <w:t>平的，出资人单位应在股东会或者股东大会前，商</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财政局达成一致意见，请示</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政府同意后执行。</w:t>
      </w:r>
    </w:p>
    <w:p w14:paraId="07FEE98F">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第二十四条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属企业国有资本收益区别以下情况核定：</w:t>
      </w:r>
    </w:p>
    <w:p w14:paraId="0D2DE880">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一</w:t>
      </w:r>
      <w:r>
        <w:rPr>
          <w:rFonts w:hint="eastAsia" w:ascii="仿宋" w:hAnsi="仿宋" w:eastAsia="仿宋" w:cs="仿宋"/>
          <w:spacing w:val="17"/>
          <w:sz w:val="31"/>
          <w:szCs w:val="31"/>
          <w:lang w:eastAsia="zh-CN"/>
        </w:rPr>
        <w:t>）应交利润，根据</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属企业经依法审计的年度合并财务会计报告反映的归属于母公司所有者的净利润和规定的上交比例计算核定；</w:t>
      </w:r>
    </w:p>
    <w:p w14:paraId="04ACAC81">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二</w:t>
      </w:r>
      <w:r>
        <w:rPr>
          <w:rFonts w:hint="eastAsia" w:ascii="仿宋" w:hAnsi="仿宋" w:eastAsia="仿宋" w:cs="仿宋"/>
          <w:spacing w:val="17"/>
          <w:sz w:val="31"/>
          <w:szCs w:val="31"/>
          <w:lang w:eastAsia="zh-CN"/>
        </w:rPr>
        <w:t>）国有股股利、股息，根据国有控股、参股企业利润分 配方案中确定的国有股获得的股利、股息全额核定；</w:t>
      </w:r>
    </w:p>
    <w:p w14:paraId="740FEFDE">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三</w:t>
      </w:r>
      <w:r>
        <w:rPr>
          <w:rFonts w:hint="eastAsia" w:ascii="仿宋" w:hAnsi="仿宋" w:eastAsia="仿宋" w:cs="仿宋"/>
          <w:spacing w:val="17"/>
          <w:sz w:val="31"/>
          <w:szCs w:val="31"/>
          <w:lang w:eastAsia="zh-CN"/>
        </w:rPr>
        <w:t>）国有产权转让收入，根据企业产权转让协议和资产评估报告等资料计算的转让净收入（扣除转让费用）全额核定；</w:t>
      </w:r>
    </w:p>
    <w:p w14:paraId="1D2D3498">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四</w:t>
      </w:r>
      <w:r>
        <w:rPr>
          <w:rFonts w:hint="eastAsia" w:ascii="仿宋" w:hAnsi="仿宋" w:eastAsia="仿宋" w:cs="仿宋"/>
          <w:spacing w:val="17"/>
          <w:sz w:val="31"/>
          <w:szCs w:val="31"/>
          <w:lang w:eastAsia="zh-CN"/>
        </w:rPr>
        <w:t>）企业清算收入，根据清算组或者管理人提交的企业清算报告计算的清算净收入（扣除清算费用）全额核定；</w:t>
      </w:r>
    </w:p>
    <w:p w14:paraId="47A31E94">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五</w:t>
      </w:r>
      <w:r>
        <w:rPr>
          <w:rFonts w:hint="eastAsia" w:ascii="仿宋" w:hAnsi="仿宋" w:eastAsia="仿宋" w:cs="仿宋"/>
          <w:spacing w:val="17"/>
          <w:sz w:val="31"/>
          <w:szCs w:val="31"/>
          <w:lang w:eastAsia="zh-CN"/>
        </w:rPr>
        <w:t>）其他国有资本收益，根据有关经济行为的财务会计资料核定。</w:t>
      </w:r>
    </w:p>
    <w:p w14:paraId="706D8DA5">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第二十五条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属企业上交的国有资本收益，使用政府收支分类科目中的“国有资本经营预算”款级收入科目。</w:t>
      </w:r>
    </w:p>
    <w:p w14:paraId="307C42E5">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第二十六条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属企业国有资本收益上交，按照以下程序执行：</w:t>
      </w:r>
    </w:p>
    <w:p w14:paraId="20CB20C0">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一</w:t>
      </w:r>
      <w:r>
        <w:rPr>
          <w:rFonts w:hint="eastAsia" w:ascii="仿宋" w:hAnsi="仿宋" w:eastAsia="仿宋" w:cs="仿宋"/>
          <w:spacing w:val="17"/>
          <w:sz w:val="31"/>
          <w:szCs w:val="31"/>
          <w:lang w:eastAsia="zh-CN"/>
        </w:rPr>
        <w:t>）各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级预算单位应当在收到监管（</w:t>
      </w:r>
      <w:r>
        <w:rPr>
          <w:rFonts w:hint="eastAsia" w:ascii="仿宋" w:hAnsi="仿宋" w:eastAsia="仿宋" w:cs="仿宋"/>
          <w:spacing w:val="17"/>
          <w:sz w:val="31"/>
          <w:szCs w:val="31"/>
          <w:lang w:val="en-US" w:eastAsia="zh-CN"/>
        </w:rPr>
        <w:t>所属</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属企业上报的国有资本收益申报表及相关材料之日起15个工作日内提出初审意见，报送</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财政局复核；</w:t>
      </w:r>
    </w:p>
    <w:p w14:paraId="442DC73A">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二</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财政局根据预算单位审核意见和直接向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财政局报送国有资本经营预算的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属企业申报表及相关材料，提出复核意见；</w:t>
      </w:r>
    </w:p>
    <w:p w14:paraId="3479A8BF">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三</w:t>
      </w:r>
      <w:r>
        <w:rPr>
          <w:rFonts w:hint="eastAsia" w:ascii="仿宋" w:hAnsi="仿宋" w:eastAsia="仿宋" w:cs="仿宋"/>
          <w:spacing w:val="17"/>
          <w:sz w:val="31"/>
          <w:szCs w:val="31"/>
          <w:lang w:eastAsia="zh-CN"/>
        </w:rPr>
        <w:t>）各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级预算单位根据</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财政局复核意见向监管（所属）</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属企业下达国有资本收益上交通知。直接向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财政局报送国有资本经营预算的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属企业由</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财政局直接向企业下达国有资本收益上交通知。</w:t>
      </w:r>
    </w:p>
    <w:p w14:paraId="5B7028E3">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四</w:t>
      </w:r>
      <w:r>
        <w:rPr>
          <w:rFonts w:hint="eastAsia"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属企业在收到国有资本收益上交通知和</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财政局出具的“非税收入缴款通知书”之日起10个工作日内，上交国有资本收益。企业缴款后，银行出具的缴款凭证返还</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级预算单位和</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财政局留存。</w:t>
      </w:r>
    </w:p>
    <w:p w14:paraId="4A2AB140">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第二十七条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属企业国有资本收益应当按照国库集中收缴有关规定直接上交</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级财政，</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政府授权履行出资人职责的机构（部门）负责组织所监管</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属企业上缴。国有资本收益全部纳入</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级国有资本经营预算收入管理。</w:t>
      </w:r>
    </w:p>
    <w:p w14:paraId="47077821">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第二十八条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属企业当年应交利润原则上须在申报日起</w:t>
      </w:r>
      <w:r>
        <w:rPr>
          <w:rFonts w:hint="eastAsia" w:ascii="仿宋" w:hAnsi="仿宋" w:eastAsia="仿宋" w:cs="仿宋"/>
          <w:spacing w:val="17"/>
          <w:sz w:val="31"/>
          <w:szCs w:val="31"/>
          <w:lang w:val="en-US" w:eastAsia="zh-CN"/>
        </w:rPr>
        <w:t>3</w:t>
      </w:r>
      <w:r>
        <w:rPr>
          <w:rFonts w:hint="eastAsia" w:ascii="仿宋" w:hAnsi="仿宋" w:eastAsia="仿宋" w:cs="仿宋"/>
          <w:spacing w:val="17"/>
          <w:sz w:val="31"/>
          <w:szCs w:val="31"/>
          <w:lang w:eastAsia="zh-CN"/>
        </w:rPr>
        <w:t>个月内交清。其中：应交利润在100万元以下（含100元）的须一次交清；应交利润在100万元以上、1000万元以下的可分两次交清；应交利润在1000万元以上的可分三次交清。</w:t>
      </w:r>
    </w:p>
    <w:p w14:paraId="0212A4C9">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第二十九条</w:t>
      </w:r>
      <w:r>
        <w:rPr>
          <w:rFonts w:hint="eastAsia" w:ascii="仿宋" w:hAnsi="仿宋" w:eastAsia="仿宋" w:cs="仿宋"/>
          <w:spacing w:val="17"/>
          <w:sz w:val="31"/>
          <w:szCs w:val="31"/>
          <w:lang w:eastAsia="zh-CN"/>
        </w:rPr>
        <w:t xml:space="preserve"> 国有资本经营预算支出按照当年预算收入规模安排；年度执行中有超收收入的，应当在下一年度安排使用；出现短收的，应当通过减少支出实现收支平衡；结余资金应当在下一年度中统筹安排使用。</w:t>
      </w:r>
    </w:p>
    <w:p w14:paraId="582F354B">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第三十条</w:t>
      </w:r>
      <w:r>
        <w:rPr>
          <w:rFonts w:hint="eastAsia" w:ascii="仿宋" w:hAnsi="仿宋" w:eastAsia="仿宋" w:cs="仿宋"/>
          <w:spacing w:val="17"/>
          <w:sz w:val="31"/>
          <w:szCs w:val="31"/>
          <w:lang w:eastAsia="zh-CN"/>
        </w:rPr>
        <w:t xml:space="preserve"> 国有资本经营预算收入（不含上年结转收入）调入一般公共预算比例不低于30%。</w:t>
      </w:r>
    </w:p>
    <w:p w14:paraId="7DD5C1F1">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第三十一条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级国有资本经营预算支出应与一般公共预算相衔接，避免与一般公共预算安排的支出交叉重复。</w:t>
      </w:r>
    </w:p>
    <w:p w14:paraId="4901F32F">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第三十二条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级国有资本经营预算支出应当按照经批准的预算执行，未经批准不得擅自调剂；预算执行中确需调剂使用的，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财政局对</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级预算单位及有关</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属企业提出的支出建议进行审核的基础上，按照“统筹安排、综合平衡”的原则形成年度支出建议，按规定程序报批后执行。</w:t>
      </w:r>
    </w:p>
    <w:p w14:paraId="4F5918B3">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第三十三条</w:t>
      </w:r>
      <w:r>
        <w:rPr>
          <w:rFonts w:hint="eastAsia" w:ascii="仿宋" w:hAnsi="仿宋" w:eastAsia="仿宋" w:cs="仿宋"/>
          <w:spacing w:val="17"/>
          <w:sz w:val="31"/>
          <w:szCs w:val="31"/>
          <w:lang w:eastAsia="zh-CN"/>
        </w:rPr>
        <w:t xml:space="preserve"> 国有资本经营预算资金支付按照国库集中支付制度有关规定执行。</w:t>
      </w:r>
    </w:p>
    <w:p w14:paraId="11D0E070">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第三十四条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应当按规定用途使用资金。资本性支出应及时按程序用于增加资本金，严格执行企业增资有关规定，落实国有资本权益，根据明确的支出投向和目标，及时开展运营活动，推进实施有关事项。确需收回的依法履行减资程序。</w:t>
      </w:r>
      <w:r>
        <w:rPr>
          <w:rFonts w:hint="eastAsia" w:ascii="仿宋" w:hAnsi="仿宋" w:eastAsia="仿宋" w:cs="仿宋"/>
          <w:spacing w:val="17"/>
          <w:sz w:val="31"/>
          <w:szCs w:val="31"/>
          <w:lang w:val="en-US" w:eastAsia="zh-CN"/>
        </w:rPr>
        <w:t>费用</w:t>
      </w:r>
      <w:r>
        <w:rPr>
          <w:rFonts w:hint="eastAsia" w:ascii="仿宋" w:hAnsi="仿宋" w:eastAsia="仿宋" w:cs="仿宋"/>
          <w:spacing w:val="17"/>
          <w:sz w:val="31"/>
          <w:szCs w:val="31"/>
          <w:lang w:eastAsia="zh-CN"/>
        </w:rPr>
        <w:t>性支出按规定标准执行，不得随意扩大范围和提高标准，结余资金主动交回财政。</w:t>
      </w:r>
    </w:p>
    <w:p w14:paraId="748E4B56">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第三十五条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属企业国有资本收益实行“收支两条线”管理，对列入国有资本经营预算支出的项目不得坐支。</w:t>
      </w:r>
    </w:p>
    <w:p w14:paraId="3BBD6525">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第三十六条</w:t>
      </w:r>
      <w:r>
        <w:rPr>
          <w:rFonts w:hint="eastAsia" w:ascii="仿宋" w:hAnsi="仿宋" w:eastAsia="仿宋" w:cs="仿宋"/>
          <w:spacing w:val="17"/>
          <w:sz w:val="31"/>
          <w:szCs w:val="31"/>
          <w:lang w:eastAsia="zh-CN"/>
        </w:rPr>
        <w:t xml:space="preserve"> 为加快预算执行进度，</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级财政可以预收部分</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属企业国有资本收益。</w:t>
      </w:r>
    </w:p>
    <w:p w14:paraId="144CE942">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第三十七条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属企业年度财务会计报告完成后，与</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级国有资本经营预算有差额的，或因国家政策发生变化、重大自然灾害等不可预见因素，在预算执行中确需作出调整的，各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级预算单位在收到</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财政局的复核结果后15日内，向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财政局报送预算调整建议，</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财政局编制国有资本经营预算调整方案，经</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人大批准后组织实施。</w:t>
      </w:r>
    </w:p>
    <w:p w14:paraId="4F3EB1EA">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第三十八条</w:t>
      </w:r>
      <w:r>
        <w:rPr>
          <w:rFonts w:hint="eastAsia" w:ascii="仿宋" w:hAnsi="仿宋" w:eastAsia="仿宋" w:cs="仿宋"/>
          <w:spacing w:val="17"/>
          <w:sz w:val="31"/>
          <w:szCs w:val="31"/>
          <w:lang w:eastAsia="zh-CN"/>
        </w:rPr>
        <w:t xml:space="preserve"> 在</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级国有资本经营预算执行中，企业改变产权或财务隶属关系引起预算级次和关系变化，应当按照规定办理预算划转。</w:t>
      </w:r>
    </w:p>
    <w:p w14:paraId="024F2F44">
      <w:pPr>
        <w:spacing w:before="278" w:line="222" w:lineRule="auto"/>
        <w:jc w:val="center"/>
        <w:outlineLvl w:val="2"/>
        <w:rPr>
          <w:rFonts w:ascii="黑体" w:hAnsi="黑体" w:eastAsia="黑体" w:cs="黑体"/>
          <w:sz w:val="29"/>
          <w:szCs w:val="29"/>
        </w:rPr>
      </w:pPr>
      <w:r>
        <w:rPr>
          <w:rFonts w:ascii="黑体" w:hAnsi="黑体" w:eastAsia="黑体" w:cs="黑体"/>
          <w:b/>
          <w:bCs/>
          <w:spacing w:val="12"/>
          <w:sz w:val="29"/>
          <w:szCs w:val="29"/>
        </w:rPr>
        <w:t>第五章</w:t>
      </w:r>
      <w:r>
        <w:rPr>
          <w:rFonts w:ascii="黑体" w:hAnsi="黑体" w:eastAsia="黑体" w:cs="黑体"/>
          <w:spacing w:val="28"/>
          <w:sz w:val="29"/>
          <w:szCs w:val="29"/>
        </w:rPr>
        <w:t xml:space="preserve">  </w:t>
      </w:r>
      <w:r>
        <w:rPr>
          <w:rFonts w:ascii="黑体" w:hAnsi="黑体" w:eastAsia="黑体" w:cs="黑体"/>
          <w:b/>
          <w:bCs/>
          <w:spacing w:val="12"/>
          <w:sz w:val="29"/>
          <w:szCs w:val="29"/>
        </w:rPr>
        <w:t>决算</w:t>
      </w:r>
    </w:p>
    <w:p w14:paraId="037695EB">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第三十九条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财政局按照编制决算的统一要求，部署本年度</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级国有资本经营决算草案编制工作，制发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级国有资本经营决算报表格式和编制说明。</w:t>
      </w:r>
    </w:p>
    <w:p w14:paraId="5E3324A8">
      <w:pPr>
        <w:spacing w:before="101" w:line="318" w:lineRule="auto"/>
        <w:ind w:firstLine="644"/>
        <w:rPr>
          <w:rFonts w:hint="eastAsia" w:ascii="仿宋" w:hAnsi="仿宋" w:eastAsia="仿宋" w:cs="仿宋"/>
          <w:spacing w:val="17"/>
          <w:sz w:val="31"/>
          <w:szCs w:val="31"/>
          <w:lang w:val="en-US" w:eastAsia="zh-CN"/>
        </w:rPr>
      </w:pPr>
      <w:r>
        <w:rPr>
          <w:rFonts w:hint="eastAsia" w:ascii="仿宋" w:hAnsi="仿宋" w:eastAsia="仿宋" w:cs="仿宋"/>
          <w:b/>
          <w:bCs/>
          <w:spacing w:val="17"/>
          <w:sz w:val="31"/>
          <w:szCs w:val="31"/>
          <w:lang w:eastAsia="zh-CN"/>
        </w:rPr>
        <w:t>第四十条</w:t>
      </w:r>
      <w:r>
        <w:rPr>
          <w:rFonts w:hint="eastAsia" w:ascii="仿宋" w:hAnsi="仿宋" w:eastAsia="仿宋" w:cs="仿宋"/>
          <w:spacing w:val="17"/>
          <w:sz w:val="31"/>
          <w:szCs w:val="31"/>
          <w:lang w:eastAsia="zh-CN"/>
        </w:rPr>
        <w:t xml:space="preserve"> 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级预算单位根据监管（所属）</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属企业编制的国有资本经营支出决算，编制本部门</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级国有资本经营决算草案报</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财政局。直接向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财政局报送国有资本经营预算的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属企业编制本企业国有资本经营决算草案报</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w:t>
      </w:r>
      <w:r>
        <w:rPr>
          <w:rFonts w:hint="eastAsia" w:ascii="仿宋" w:hAnsi="仿宋" w:eastAsia="仿宋" w:cs="仿宋"/>
          <w:spacing w:val="17"/>
          <w:sz w:val="31"/>
          <w:szCs w:val="31"/>
          <w:lang w:val="en-US" w:eastAsia="zh-CN"/>
        </w:rPr>
        <w:t xml:space="preserve">    </w:t>
      </w:r>
    </w:p>
    <w:p w14:paraId="6C97BE3C">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第四十一条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财政局根据当年国有资本经营预算执行情况和各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属企业上报的决算草案，编制</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级国有资本经营决算草案。</w:t>
      </w:r>
    </w:p>
    <w:p w14:paraId="52099DE7">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第四十二条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级国有资本经营决算草案，经</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政府审定</w:t>
      </w:r>
      <w:r>
        <w:rPr>
          <w:rFonts w:hint="eastAsia" w:ascii="仿宋" w:hAnsi="仿宋" w:eastAsia="仿宋" w:cs="仿宋"/>
          <w:spacing w:val="17"/>
          <w:sz w:val="31"/>
          <w:szCs w:val="31"/>
          <w:lang w:val="en-US" w:eastAsia="zh-CN"/>
        </w:rPr>
        <w:t>后，</w:t>
      </w:r>
      <w:r>
        <w:rPr>
          <w:rFonts w:hint="eastAsia" w:ascii="仿宋" w:hAnsi="仿宋" w:eastAsia="仿宋" w:cs="仿宋"/>
          <w:spacing w:val="17"/>
          <w:sz w:val="31"/>
          <w:szCs w:val="31"/>
          <w:lang w:eastAsia="zh-CN"/>
        </w:rPr>
        <w:t>提请</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人大审查。</w:t>
      </w:r>
    </w:p>
    <w:p w14:paraId="5A1E147D">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第四十三条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级国有资本经营决算草案经</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人大批准后，</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财政局应当在20日内向有关</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级预算单位和直接向</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财政局报送国有资本经营预算的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属企业批复决算。</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级预算单位在</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财政局批复本单位决算之日起15日内批复所监管（</w:t>
      </w:r>
      <w:r>
        <w:rPr>
          <w:rFonts w:hint="eastAsia" w:ascii="仿宋" w:hAnsi="仿宋" w:eastAsia="仿宋" w:cs="仿宋"/>
          <w:spacing w:val="17"/>
          <w:sz w:val="31"/>
          <w:szCs w:val="31"/>
          <w:lang w:val="en-US" w:eastAsia="zh-CN"/>
        </w:rPr>
        <w:t>所属</w:t>
      </w:r>
      <w:r>
        <w:rPr>
          <w:rFonts w:hint="eastAsia" w:ascii="仿宋" w:hAnsi="仿宋" w:eastAsia="仿宋" w:cs="仿宋"/>
          <w:spacing w:val="17"/>
          <w:sz w:val="31"/>
          <w:szCs w:val="31"/>
          <w:lang w:eastAsia="zh-CN"/>
        </w:rPr>
        <w:t>）企业。</w:t>
      </w:r>
    </w:p>
    <w:p w14:paraId="23F49EF1">
      <w:pPr>
        <w:spacing w:before="199" w:line="221" w:lineRule="auto"/>
        <w:ind w:left="3204"/>
        <w:outlineLvl w:val="2"/>
        <w:rPr>
          <w:rFonts w:ascii="黑体" w:hAnsi="黑体" w:eastAsia="黑体" w:cs="黑体"/>
          <w:sz w:val="30"/>
          <w:szCs w:val="30"/>
        </w:rPr>
      </w:pPr>
      <w:r>
        <w:rPr>
          <w:rFonts w:ascii="黑体" w:hAnsi="黑体" w:eastAsia="黑体" w:cs="黑体"/>
          <w:b/>
          <w:bCs/>
          <w:spacing w:val="6"/>
          <w:sz w:val="30"/>
          <w:szCs w:val="30"/>
        </w:rPr>
        <w:t>第六章</w:t>
      </w:r>
      <w:r>
        <w:rPr>
          <w:rFonts w:ascii="黑体" w:hAnsi="黑体" w:eastAsia="黑体" w:cs="黑体"/>
          <w:spacing w:val="24"/>
          <w:sz w:val="30"/>
          <w:szCs w:val="30"/>
        </w:rPr>
        <w:t xml:space="preserve">  </w:t>
      </w:r>
      <w:r>
        <w:rPr>
          <w:rFonts w:ascii="黑体" w:hAnsi="黑体" w:eastAsia="黑体" w:cs="黑体"/>
          <w:b/>
          <w:bCs/>
          <w:spacing w:val="6"/>
          <w:sz w:val="30"/>
          <w:szCs w:val="30"/>
        </w:rPr>
        <w:t>绩效管理</w:t>
      </w:r>
    </w:p>
    <w:p w14:paraId="54182BA6">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 xml:space="preserve">第四十四条 </w:t>
      </w:r>
      <w:r>
        <w:rPr>
          <w:rFonts w:hint="eastAsia" w:ascii="仿宋" w:hAnsi="仿宋" w:eastAsia="仿宋" w:cs="仿宋"/>
          <w:b w:val="0"/>
          <w:bCs w:val="0"/>
          <w:spacing w:val="17"/>
          <w:sz w:val="31"/>
          <w:szCs w:val="31"/>
          <w:lang w:val="en-US" w:eastAsia="zh-CN"/>
        </w:rPr>
        <w:t>县</w:t>
      </w:r>
      <w:r>
        <w:rPr>
          <w:rFonts w:hint="eastAsia" w:ascii="仿宋" w:hAnsi="仿宋" w:eastAsia="仿宋" w:cs="仿宋"/>
          <w:spacing w:val="17"/>
          <w:sz w:val="31"/>
          <w:szCs w:val="31"/>
          <w:lang w:eastAsia="zh-CN"/>
        </w:rPr>
        <w:t>级国有资本经营预算应当实施绩效管理，合理设定绩效目标及指标，实行绩效执行监控，开展绩效评价，加强评价结果应用，提升预算资金使用效益。</w:t>
      </w:r>
    </w:p>
    <w:p w14:paraId="01718B21">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第四十五条</w:t>
      </w:r>
      <w:r>
        <w:rPr>
          <w:rFonts w:hint="eastAsia" w:ascii="仿宋" w:hAnsi="仿宋" w:eastAsia="仿宋" w:cs="仿宋"/>
          <w:spacing w:val="17"/>
          <w:sz w:val="31"/>
          <w:szCs w:val="31"/>
          <w:lang w:eastAsia="zh-CN"/>
        </w:rPr>
        <w:t xml:space="preserve"> 预算单位及其监管（</w:t>
      </w:r>
      <w:r>
        <w:rPr>
          <w:rFonts w:hint="eastAsia" w:ascii="仿宋" w:hAnsi="仿宋" w:eastAsia="仿宋" w:cs="仿宋"/>
          <w:spacing w:val="17"/>
          <w:sz w:val="31"/>
          <w:szCs w:val="31"/>
          <w:lang w:val="en-US" w:eastAsia="zh-CN"/>
        </w:rPr>
        <w:t>所属</w:t>
      </w:r>
      <w:r>
        <w:rPr>
          <w:rFonts w:hint="eastAsia" w:ascii="仿宋" w:hAnsi="仿宋" w:eastAsia="仿宋" w:cs="仿宋"/>
          <w:spacing w:val="17"/>
          <w:sz w:val="31"/>
          <w:szCs w:val="31"/>
          <w:lang w:eastAsia="zh-CN"/>
        </w:rPr>
        <w:t>）企业根据绩效管理的相关规定，开展国有资本经营预算支出绩效管理工作。预算单位要建立对重大支出政策的事前绩效评估机制，加强绩效目标审核管理，做好绩效运行监控，按照“谁使用资金、谁开展自评；谁安排资金，谁负责重点评价”的原则，组织资金使用单位全面开展绩效自评，及时对自评结果进行抽查并开展部门评价，以5年为周期实现部门评价重点项目全覆盖，加强评价结果应用，做好绩效信息公开。</w:t>
      </w:r>
    </w:p>
    <w:p w14:paraId="40845133">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第四十六条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财政局做好</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级国有资本经营预算支出绩效评价组织管理工作，推进绩效评价工作规范化、制度化，并选择重点政策和项目开展财政评价。财政评价结果作为安排预算、完善政策和改进管理的重要依据。</w:t>
      </w:r>
    </w:p>
    <w:p w14:paraId="76D428B3">
      <w:pPr>
        <w:spacing w:before="1" w:line="220" w:lineRule="auto"/>
        <w:ind w:left="3514"/>
        <w:outlineLvl w:val="2"/>
        <w:rPr>
          <w:rFonts w:ascii="黑体" w:hAnsi="黑体" w:eastAsia="黑体" w:cs="黑体"/>
          <w:sz w:val="31"/>
          <w:szCs w:val="31"/>
        </w:rPr>
      </w:pPr>
      <w:r>
        <w:rPr>
          <w:rFonts w:ascii="黑体" w:hAnsi="黑体" w:eastAsia="黑体" w:cs="黑体"/>
          <w:b/>
          <w:bCs/>
          <w:spacing w:val="-7"/>
          <w:sz w:val="31"/>
          <w:szCs w:val="31"/>
        </w:rPr>
        <w:t>第七章</w:t>
      </w:r>
      <w:r>
        <w:rPr>
          <w:rFonts w:ascii="黑体" w:hAnsi="黑体" w:eastAsia="黑体" w:cs="黑体"/>
          <w:spacing w:val="18"/>
          <w:sz w:val="31"/>
          <w:szCs w:val="31"/>
        </w:rPr>
        <w:t xml:space="preserve">  </w:t>
      </w:r>
      <w:r>
        <w:rPr>
          <w:rFonts w:ascii="黑体" w:hAnsi="黑体" w:eastAsia="黑体" w:cs="黑体"/>
          <w:b/>
          <w:bCs/>
          <w:spacing w:val="-7"/>
          <w:sz w:val="31"/>
          <w:szCs w:val="31"/>
        </w:rPr>
        <w:t>监督检查</w:t>
      </w:r>
    </w:p>
    <w:p w14:paraId="7C340275">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第四十七条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属企业上交国有资本收益的总体情况，应按规定列入预算单位对企业的经营业绩考核内容。</w:t>
      </w:r>
    </w:p>
    <w:p w14:paraId="62D50B26">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第四十八条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属企业按规定应上交的国有资本收益，应及时、足额直接上交</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级财政。按照规定的用途、范围、金额等使用国有资本经营预算资金，不得隐瞒、截留、不交、少交国有资本收益或者挤占、挪用国有资本经营预算资金。</w:t>
      </w:r>
    </w:p>
    <w:p w14:paraId="62875DB0">
      <w:pPr>
        <w:spacing w:before="101" w:line="318" w:lineRule="auto"/>
        <w:ind w:firstLine="644"/>
        <w:rPr>
          <w:rFonts w:hint="eastAsia" w:ascii="仿宋" w:hAnsi="仿宋" w:eastAsia="仿宋" w:cs="仿宋"/>
          <w:spacing w:val="17"/>
          <w:sz w:val="31"/>
          <w:szCs w:val="31"/>
          <w:lang w:eastAsia="zh-CN"/>
        </w:rPr>
      </w:pPr>
      <w:r>
        <w:rPr>
          <w:rFonts w:hint="eastAsia" w:ascii="仿宋" w:hAnsi="仿宋" w:eastAsia="仿宋" w:cs="仿宋"/>
          <w:b/>
          <w:bCs/>
          <w:spacing w:val="17"/>
          <w:sz w:val="31"/>
          <w:szCs w:val="31"/>
          <w:lang w:eastAsia="zh-CN"/>
        </w:rPr>
        <w:t>第四十九条</w:t>
      </w:r>
      <w:r>
        <w:rPr>
          <w:rFonts w:hint="eastAsia" w:ascii="仿宋" w:hAnsi="仿宋" w:eastAsia="仿宋" w:cs="仿宋"/>
          <w:spacing w:val="17"/>
          <w:sz w:val="31"/>
          <w:szCs w:val="31"/>
          <w:lang w:eastAsia="zh-CN"/>
        </w:rPr>
        <w:t xml:space="preserve"> </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财政局依法履行财会监督主责，负责组织和监督国有资本经营预算的执行情况。各</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级预算单位依照法定职责实施部门监督，负责监管（所属）</w:t>
      </w:r>
      <w:r>
        <w:rPr>
          <w:rFonts w:hint="eastAsia" w:ascii="仿宋" w:hAnsi="仿宋" w:eastAsia="仿宋" w:cs="仿宋"/>
          <w:spacing w:val="17"/>
          <w:sz w:val="31"/>
          <w:szCs w:val="31"/>
          <w:lang w:val="en-US" w:eastAsia="zh-CN"/>
        </w:rPr>
        <w:t>县</w:t>
      </w:r>
      <w:r>
        <w:rPr>
          <w:rFonts w:hint="eastAsia" w:ascii="仿宋" w:hAnsi="仿宋" w:eastAsia="仿宋" w:cs="仿宋"/>
          <w:spacing w:val="17"/>
          <w:sz w:val="31"/>
          <w:szCs w:val="31"/>
          <w:lang w:eastAsia="zh-CN"/>
        </w:rPr>
        <w:t>属企业国有资本收益收支的监管工作。各资金使用单位应当建立责权清晰、约束有力的内部财会监督机制和内部控制体系，落实单位内部财会监督主体责任，加强对国有资本经营预算资金使用的日常管理监督。</w:t>
      </w:r>
    </w:p>
    <w:p w14:paraId="0B580C5A">
      <w:pPr>
        <w:spacing w:before="101" w:line="318" w:lineRule="auto"/>
        <w:ind w:firstLine="644"/>
        <w:rPr>
          <w:rFonts w:hint="eastAsia" w:ascii="仿宋" w:hAnsi="仿宋" w:eastAsia="仿宋" w:cs="仿宋"/>
          <w:snapToGrid w:val="0"/>
          <w:color w:val="000000"/>
          <w:spacing w:val="17"/>
          <w:kern w:val="0"/>
          <w:sz w:val="31"/>
          <w:szCs w:val="31"/>
          <w:lang w:val="en-US" w:eastAsia="en-US" w:bidi="ar-SA"/>
        </w:rPr>
      </w:pPr>
      <w:r>
        <w:rPr>
          <w:rFonts w:hint="eastAsia" w:ascii="仿宋" w:hAnsi="仿宋" w:eastAsia="仿宋" w:cs="仿宋"/>
          <w:b/>
          <w:bCs/>
          <w:spacing w:val="17"/>
          <w:sz w:val="31"/>
          <w:szCs w:val="31"/>
          <w:lang w:eastAsia="zh-CN"/>
        </w:rPr>
        <w:t>第五十条</w:t>
      </w:r>
      <w:r>
        <w:rPr>
          <w:rFonts w:hint="eastAsia" w:ascii="仿宋" w:hAnsi="仿宋" w:eastAsia="仿宋" w:cs="仿宋"/>
          <w:spacing w:val="17"/>
          <w:sz w:val="31"/>
          <w:szCs w:val="31"/>
          <w:lang w:eastAsia="zh-CN"/>
        </w:rPr>
        <w:t xml:space="preserve"> 国家出资企业应建立和健全国有资本经营预算的资金管理制度和内部审计制度，规范资金核算，组织开展企业改制重组、股权转让、对外投资等重要经济活动的专项审计，对实施的国有资本经营预算等相关工作的真实性、合法性、效益性进行有效监督，确保资金按规定用途使用。</w:t>
      </w:r>
    </w:p>
    <w:p w14:paraId="437C90D9">
      <w:pPr>
        <w:spacing w:before="97" w:line="310" w:lineRule="auto"/>
        <w:ind w:right="26" w:firstLine="630"/>
        <w:rPr>
          <w:rFonts w:hint="eastAsia" w:ascii="仿宋" w:hAnsi="仿宋" w:eastAsia="仿宋" w:cs="仿宋"/>
          <w:snapToGrid w:val="0"/>
          <w:color w:val="000000"/>
          <w:spacing w:val="17"/>
          <w:kern w:val="0"/>
          <w:sz w:val="31"/>
          <w:szCs w:val="31"/>
          <w:lang w:val="en-US" w:eastAsia="zh-CN" w:bidi="ar-SA"/>
        </w:rPr>
      </w:pPr>
      <w:r>
        <w:rPr>
          <w:rFonts w:hint="eastAsia" w:ascii="仿宋" w:hAnsi="仿宋" w:eastAsia="仿宋" w:cs="仿宋"/>
          <w:b/>
          <w:bCs/>
          <w:snapToGrid w:val="0"/>
          <w:color w:val="000000"/>
          <w:spacing w:val="17"/>
          <w:kern w:val="0"/>
          <w:sz w:val="31"/>
          <w:szCs w:val="31"/>
          <w:lang w:val="en-US" w:eastAsia="zh-CN" w:bidi="ar-SA"/>
        </w:rPr>
        <w:t>第五十一条</w:t>
      </w:r>
      <w:r>
        <w:rPr>
          <w:rFonts w:hint="eastAsia" w:ascii="仿宋" w:hAnsi="仿宋" w:eastAsia="仿宋" w:cs="仿宋"/>
          <w:snapToGrid w:val="0"/>
          <w:color w:val="000000"/>
          <w:spacing w:val="17"/>
          <w:kern w:val="0"/>
          <w:sz w:val="31"/>
          <w:szCs w:val="31"/>
          <w:lang w:val="en-US" w:eastAsia="zh-CN" w:bidi="ar-SA"/>
        </w:rPr>
        <w:t xml:space="preserve"> 县属企业应当遵守国家财政、财务规章制度和财经纪律，自觉接受县级财政部门和省、市、县直预算单位的监督检查。审计机关应依法加强对县级财政部门、县预算单位、县属企业的审计监督。</w:t>
      </w:r>
    </w:p>
    <w:p w14:paraId="39CFC4FC">
      <w:pPr>
        <w:spacing w:before="235" w:line="311" w:lineRule="auto"/>
        <w:ind w:right="23" w:firstLine="630"/>
        <w:rPr>
          <w:rFonts w:hint="eastAsia" w:ascii="仿宋" w:hAnsi="仿宋" w:eastAsia="仿宋" w:cs="仿宋"/>
          <w:snapToGrid w:val="0"/>
          <w:color w:val="000000"/>
          <w:spacing w:val="17"/>
          <w:kern w:val="0"/>
          <w:sz w:val="31"/>
          <w:szCs w:val="31"/>
          <w:lang w:val="en-US" w:eastAsia="zh-CN" w:bidi="ar-SA"/>
        </w:rPr>
      </w:pPr>
      <w:r>
        <w:rPr>
          <w:rFonts w:hint="eastAsia" w:ascii="仿宋" w:hAnsi="仿宋" w:eastAsia="仿宋" w:cs="仿宋"/>
          <w:b/>
          <w:bCs/>
          <w:snapToGrid w:val="0"/>
          <w:color w:val="000000"/>
          <w:spacing w:val="17"/>
          <w:kern w:val="0"/>
          <w:sz w:val="31"/>
          <w:szCs w:val="31"/>
          <w:lang w:val="en-US" w:eastAsia="zh-CN" w:bidi="ar-SA"/>
        </w:rPr>
        <w:t>第五十二条</w:t>
      </w:r>
      <w:r>
        <w:rPr>
          <w:rFonts w:hint="eastAsia" w:ascii="仿宋" w:hAnsi="仿宋" w:eastAsia="仿宋" w:cs="仿宋"/>
          <w:snapToGrid w:val="0"/>
          <w:color w:val="000000"/>
          <w:spacing w:val="17"/>
          <w:kern w:val="0"/>
          <w:sz w:val="31"/>
          <w:szCs w:val="31"/>
          <w:lang w:val="en-US" w:eastAsia="zh-CN" w:bidi="ar-SA"/>
        </w:rPr>
        <w:t xml:space="preserve"> 对县级国有资本经营预算管理中的违法行为，依照《中华人民共和国预算法》《财政违法行为处罚处分条例》（国务院令第427号）《中华人民共和国会计法》《中华人民共和国注册会计师法》《行政机关公务员处分条例》等相关规定进行处理处罚。</w:t>
      </w:r>
    </w:p>
    <w:p w14:paraId="62262A4E">
      <w:pPr>
        <w:spacing w:before="242" w:line="222" w:lineRule="auto"/>
        <w:ind w:left="3534"/>
        <w:outlineLvl w:val="2"/>
        <w:rPr>
          <w:rFonts w:ascii="黑体" w:hAnsi="黑体" w:eastAsia="黑体" w:cs="黑体"/>
          <w:sz w:val="30"/>
          <w:szCs w:val="30"/>
        </w:rPr>
      </w:pPr>
      <w:r>
        <w:rPr>
          <w:rFonts w:ascii="黑体" w:hAnsi="黑体" w:eastAsia="黑体" w:cs="黑体"/>
          <w:b/>
          <w:bCs/>
          <w:spacing w:val="3"/>
          <w:sz w:val="30"/>
          <w:szCs w:val="30"/>
        </w:rPr>
        <w:t>第八章</w:t>
      </w:r>
      <w:r>
        <w:rPr>
          <w:rFonts w:ascii="黑体" w:hAnsi="黑体" w:eastAsia="黑体" w:cs="黑体"/>
          <w:spacing w:val="24"/>
          <w:sz w:val="30"/>
          <w:szCs w:val="30"/>
        </w:rPr>
        <w:t xml:space="preserve">  </w:t>
      </w:r>
      <w:r>
        <w:rPr>
          <w:rFonts w:ascii="黑体" w:hAnsi="黑体" w:eastAsia="黑体" w:cs="黑体"/>
          <w:b/>
          <w:bCs/>
          <w:spacing w:val="3"/>
          <w:sz w:val="30"/>
          <w:szCs w:val="30"/>
        </w:rPr>
        <w:t>附则</w:t>
      </w:r>
    </w:p>
    <w:p w14:paraId="11015946">
      <w:pPr>
        <w:spacing w:before="97" w:line="310" w:lineRule="auto"/>
        <w:ind w:right="26" w:firstLine="630"/>
        <w:rPr>
          <w:rFonts w:hint="eastAsia" w:ascii="仿宋" w:hAnsi="仿宋" w:eastAsia="仿宋" w:cs="仿宋"/>
          <w:snapToGrid w:val="0"/>
          <w:color w:val="000000"/>
          <w:spacing w:val="17"/>
          <w:kern w:val="0"/>
          <w:sz w:val="31"/>
          <w:szCs w:val="31"/>
          <w:lang w:val="en-US" w:eastAsia="zh-CN" w:bidi="ar-SA"/>
        </w:rPr>
      </w:pPr>
      <w:r>
        <w:rPr>
          <w:rFonts w:hint="eastAsia" w:ascii="仿宋" w:hAnsi="仿宋" w:eastAsia="仿宋" w:cs="仿宋"/>
          <w:b/>
          <w:bCs/>
          <w:snapToGrid w:val="0"/>
          <w:color w:val="000000"/>
          <w:spacing w:val="17"/>
          <w:kern w:val="0"/>
          <w:sz w:val="31"/>
          <w:szCs w:val="31"/>
          <w:lang w:val="en-US" w:eastAsia="zh-CN" w:bidi="ar-SA"/>
        </w:rPr>
        <w:t>第五十三条</w:t>
      </w:r>
      <w:r>
        <w:rPr>
          <w:rFonts w:hint="eastAsia" w:ascii="仿宋" w:hAnsi="仿宋" w:eastAsia="仿宋" w:cs="仿宋"/>
          <w:snapToGrid w:val="0"/>
          <w:color w:val="000000"/>
          <w:spacing w:val="17"/>
          <w:kern w:val="0"/>
          <w:sz w:val="31"/>
          <w:szCs w:val="31"/>
          <w:lang w:val="en-US" w:eastAsia="zh-CN" w:bidi="ar-SA"/>
        </w:rPr>
        <w:t xml:space="preserve"> 本办法自发布之日起施行。</w:t>
      </w:r>
    </w:p>
    <w:p w14:paraId="1ACAF603">
      <w:pPr>
        <w:spacing w:before="97" w:line="310" w:lineRule="auto"/>
        <w:ind w:right="26" w:firstLine="630"/>
        <w:rPr>
          <w:rFonts w:hint="eastAsia" w:ascii="仿宋" w:hAnsi="仿宋" w:eastAsia="仿宋" w:cs="仿宋"/>
          <w:snapToGrid w:val="0"/>
          <w:color w:val="000000"/>
          <w:spacing w:val="17"/>
          <w:kern w:val="0"/>
          <w:sz w:val="31"/>
          <w:szCs w:val="31"/>
          <w:lang w:val="en-US" w:eastAsia="zh-CN" w:bidi="ar-SA"/>
        </w:rPr>
      </w:pPr>
      <w:r>
        <w:rPr>
          <w:rFonts w:hint="eastAsia" w:ascii="仿宋" w:hAnsi="仿宋" w:eastAsia="仿宋" w:cs="仿宋"/>
          <w:b/>
          <w:bCs/>
          <w:snapToGrid w:val="0"/>
          <w:color w:val="000000"/>
          <w:spacing w:val="17"/>
          <w:kern w:val="0"/>
          <w:sz w:val="31"/>
          <w:szCs w:val="31"/>
          <w:lang w:val="en-US" w:eastAsia="zh-CN" w:bidi="ar-SA"/>
        </w:rPr>
        <w:t>第五十四条</w:t>
      </w:r>
      <w:r>
        <w:rPr>
          <w:rFonts w:hint="eastAsia" w:ascii="仿宋" w:hAnsi="仿宋" w:eastAsia="仿宋" w:cs="仿宋"/>
          <w:snapToGrid w:val="0"/>
          <w:color w:val="000000"/>
          <w:spacing w:val="17"/>
          <w:kern w:val="0"/>
          <w:sz w:val="31"/>
          <w:szCs w:val="31"/>
          <w:lang w:val="en-US" w:eastAsia="zh-CN" w:bidi="ar-SA"/>
        </w:rPr>
        <w:t xml:space="preserve"> 金融企业和文化企业国有资本经营预算另有规定的，依其规定执行。</w:t>
      </w:r>
    </w:p>
    <w:p w14:paraId="5DBD533E">
      <w:pPr>
        <w:spacing w:before="97" w:line="310" w:lineRule="auto"/>
        <w:ind w:right="26" w:firstLine="630"/>
        <w:rPr>
          <w:rFonts w:hint="default" w:ascii="仿宋" w:hAnsi="仿宋" w:eastAsia="仿宋" w:cs="仿宋"/>
          <w:snapToGrid w:val="0"/>
          <w:color w:val="000000"/>
          <w:spacing w:val="17"/>
          <w:kern w:val="0"/>
          <w:sz w:val="31"/>
          <w:szCs w:val="31"/>
          <w:lang w:val="en-US" w:eastAsia="zh-CN" w:bidi="ar-SA"/>
        </w:rPr>
      </w:pPr>
      <w:r>
        <w:rPr>
          <w:rFonts w:hint="eastAsia" w:ascii="仿宋" w:hAnsi="仿宋" w:eastAsia="仿宋" w:cs="仿宋"/>
          <w:b/>
          <w:bCs/>
          <w:snapToGrid w:val="0"/>
          <w:color w:val="000000"/>
          <w:spacing w:val="17"/>
          <w:kern w:val="0"/>
          <w:sz w:val="31"/>
          <w:szCs w:val="31"/>
          <w:lang w:val="en-US" w:eastAsia="zh-CN" w:bidi="ar-SA"/>
        </w:rPr>
        <w:t>第五十五条</w:t>
      </w:r>
      <w:r>
        <w:rPr>
          <w:rFonts w:hint="eastAsia" w:ascii="仿宋" w:hAnsi="仿宋" w:eastAsia="仿宋" w:cs="仿宋"/>
          <w:snapToGrid w:val="0"/>
          <w:color w:val="000000"/>
          <w:spacing w:val="17"/>
          <w:kern w:val="0"/>
          <w:sz w:val="31"/>
          <w:szCs w:val="31"/>
          <w:lang w:val="en-US" w:eastAsia="zh-CN" w:bidi="ar-SA"/>
        </w:rPr>
        <w:t xml:space="preserve"> 县级国有资本经营预算按财政年度编制，自公历1月1日至12月31日。</w:t>
      </w:r>
    </w:p>
    <w:p w14:paraId="203289D7">
      <w:pPr>
        <w:spacing w:before="97" w:line="310" w:lineRule="auto"/>
        <w:ind w:right="26" w:firstLine="630"/>
        <w:rPr>
          <w:rFonts w:hint="eastAsia" w:ascii="仿宋" w:hAnsi="仿宋" w:eastAsia="仿宋" w:cs="仿宋"/>
          <w:snapToGrid w:val="0"/>
          <w:color w:val="000000"/>
          <w:spacing w:val="17"/>
          <w:kern w:val="0"/>
          <w:sz w:val="31"/>
          <w:szCs w:val="31"/>
          <w:lang w:val="en-US" w:eastAsia="zh-CN" w:bidi="ar-SA"/>
        </w:rPr>
      </w:pPr>
      <w:r>
        <w:rPr>
          <w:rFonts w:hint="eastAsia" w:ascii="仿宋" w:hAnsi="仿宋" w:eastAsia="仿宋" w:cs="仿宋"/>
          <w:b/>
          <w:bCs/>
          <w:snapToGrid w:val="0"/>
          <w:color w:val="000000"/>
          <w:spacing w:val="17"/>
          <w:kern w:val="0"/>
          <w:sz w:val="31"/>
          <w:szCs w:val="31"/>
          <w:lang w:val="en-US" w:eastAsia="zh-CN" w:bidi="ar-SA"/>
        </w:rPr>
        <w:t>第五十六条</w:t>
      </w:r>
      <w:r>
        <w:rPr>
          <w:rFonts w:hint="eastAsia" w:ascii="仿宋" w:hAnsi="仿宋" w:eastAsia="仿宋" w:cs="仿宋"/>
          <w:snapToGrid w:val="0"/>
          <w:color w:val="000000"/>
          <w:spacing w:val="17"/>
          <w:kern w:val="0"/>
          <w:sz w:val="31"/>
          <w:szCs w:val="31"/>
          <w:lang w:val="en-US" w:eastAsia="zh-CN" w:bidi="ar-SA"/>
        </w:rPr>
        <w:t xml:space="preserve"> 本办法由县财政局负责解释。</w:t>
      </w:r>
    </w:p>
    <w:p w14:paraId="6600919A">
      <w:pPr>
        <w:kinsoku w:val="0"/>
        <w:autoSpaceDE w:val="0"/>
        <w:autoSpaceDN w:val="0"/>
        <w:adjustRightInd w:val="0"/>
        <w:snapToGrid w:val="0"/>
        <w:spacing w:line="324" w:lineRule="auto"/>
        <w:jc w:val="left"/>
        <w:textAlignment w:val="baseline"/>
        <w:rPr>
          <w:rFonts w:ascii="Arial" w:hAnsi="Arial" w:eastAsia="Arial" w:cs="Arial"/>
          <w:snapToGrid w:val="0"/>
          <w:color w:val="000000"/>
          <w:kern w:val="0"/>
          <w:sz w:val="21"/>
          <w:szCs w:val="21"/>
          <w:lang w:val="en-US" w:eastAsia="en-US" w:bidi="ar-SA"/>
        </w:rPr>
      </w:pPr>
    </w:p>
    <w:p w14:paraId="393B1BE0">
      <w:pPr>
        <w:kinsoku w:val="0"/>
        <w:autoSpaceDE w:val="0"/>
        <w:autoSpaceDN w:val="0"/>
        <w:adjustRightInd w:val="0"/>
        <w:snapToGrid w:val="0"/>
        <w:spacing w:line="324" w:lineRule="auto"/>
        <w:jc w:val="left"/>
        <w:textAlignment w:val="baseline"/>
        <w:rPr>
          <w:rFonts w:hint="eastAsia" w:ascii="仿宋" w:hAnsi="仿宋" w:eastAsia="仿宋" w:cs="仿宋"/>
          <w:snapToGrid w:val="0"/>
          <w:color w:val="000000"/>
          <w:spacing w:val="17"/>
          <w:kern w:val="0"/>
          <w:sz w:val="31"/>
          <w:szCs w:val="31"/>
          <w:lang w:val="en-US" w:eastAsia="en-US" w:bidi="ar-SA"/>
        </w:rPr>
      </w:pPr>
    </w:p>
    <w:p w14:paraId="0ED4555A">
      <w:pPr>
        <w:spacing w:before="97" w:line="310" w:lineRule="auto"/>
        <w:ind w:right="26" w:firstLine="630"/>
        <w:rPr>
          <w:rFonts w:hint="eastAsia" w:ascii="仿宋" w:hAnsi="仿宋" w:eastAsia="仿宋" w:cs="仿宋"/>
          <w:snapToGrid w:val="0"/>
          <w:color w:val="000000"/>
          <w:spacing w:val="17"/>
          <w:kern w:val="0"/>
          <w:sz w:val="31"/>
          <w:szCs w:val="31"/>
          <w:lang w:val="en-US" w:eastAsia="zh-CN" w:bidi="ar-SA"/>
        </w:rPr>
      </w:pPr>
      <w:r>
        <w:rPr>
          <w:rFonts w:hint="eastAsia" w:ascii="仿宋" w:hAnsi="仿宋" w:eastAsia="仿宋" w:cs="仿宋"/>
          <w:snapToGrid w:val="0"/>
          <w:color w:val="000000"/>
          <w:spacing w:val="17"/>
          <w:kern w:val="0"/>
          <w:sz w:val="31"/>
          <w:szCs w:val="31"/>
          <w:lang w:val="en-US" w:eastAsia="zh-CN" w:bidi="ar-SA"/>
        </w:rPr>
        <w:t>附件：1、地方国有资本经营预算表</w:t>
      </w:r>
    </w:p>
    <w:p w14:paraId="5F2BBF34">
      <w:pPr>
        <w:numPr>
          <w:ilvl w:val="0"/>
          <w:numId w:val="1"/>
        </w:numPr>
        <w:spacing w:before="97" w:line="310" w:lineRule="auto"/>
        <w:ind w:right="26" w:firstLine="1720" w:firstLineChars="500"/>
        <w:rPr>
          <w:rFonts w:hint="eastAsia" w:ascii="仿宋" w:hAnsi="仿宋" w:eastAsia="仿宋" w:cs="仿宋"/>
          <w:snapToGrid w:val="0"/>
          <w:color w:val="000000"/>
          <w:spacing w:val="17"/>
          <w:kern w:val="0"/>
          <w:sz w:val="31"/>
          <w:szCs w:val="31"/>
          <w:lang w:val="en-US" w:eastAsia="zh-CN" w:bidi="ar-SA"/>
        </w:rPr>
      </w:pPr>
      <w:r>
        <w:rPr>
          <w:rFonts w:hint="eastAsia" w:ascii="仿宋" w:hAnsi="仿宋" w:eastAsia="仿宋" w:cs="仿宋"/>
          <w:snapToGrid w:val="0"/>
          <w:color w:val="000000"/>
          <w:spacing w:val="17"/>
          <w:kern w:val="0"/>
          <w:sz w:val="31"/>
          <w:szCs w:val="31"/>
          <w:lang w:val="en-US" w:eastAsia="zh-CN" w:bidi="ar-SA"/>
        </w:rPr>
        <w:t>县级国有资本收益申报情况表</w:t>
      </w:r>
    </w:p>
    <w:p w14:paraId="73F5CDA1">
      <w:pPr>
        <w:numPr>
          <w:ilvl w:val="0"/>
          <w:numId w:val="0"/>
        </w:numPr>
        <w:kinsoku w:val="0"/>
        <w:autoSpaceDE w:val="0"/>
        <w:autoSpaceDN w:val="0"/>
        <w:adjustRightInd w:val="0"/>
        <w:snapToGrid w:val="0"/>
        <w:spacing w:before="97" w:line="310" w:lineRule="auto"/>
        <w:ind w:right="26" w:rightChars="0"/>
        <w:jc w:val="left"/>
        <w:textAlignment w:val="baseline"/>
        <w:rPr>
          <w:rFonts w:hint="eastAsia" w:ascii="仿宋" w:hAnsi="仿宋" w:eastAsia="仿宋" w:cs="仿宋"/>
          <w:snapToGrid w:val="0"/>
          <w:color w:val="000000"/>
          <w:spacing w:val="17"/>
          <w:kern w:val="0"/>
          <w:sz w:val="31"/>
          <w:szCs w:val="31"/>
          <w:lang w:val="en-US" w:eastAsia="zh-CN" w:bidi="ar-SA"/>
        </w:rPr>
      </w:pPr>
    </w:p>
    <w:p w14:paraId="25270EE8">
      <w:pPr>
        <w:numPr>
          <w:ilvl w:val="0"/>
          <w:numId w:val="0"/>
        </w:numPr>
        <w:kinsoku w:val="0"/>
        <w:autoSpaceDE w:val="0"/>
        <w:autoSpaceDN w:val="0"/>
        <w:adjustRightInd w:val="0"/>
        <w:snapToGrid w:val="0"/>
        <w:spacing w:before="97" w:line="310" w:lineRule="auto"/>
        <w:ind w:right="26" w:rightChars="0"/>
        <w:jc w:val="left"/>
        <w:textAlignment w:val="baseline"/>
        <w:rPr>
          <w:rFonts w:hint="eastAsia" w:ascii="仿宋" w:hAnsi="仿宋" w:eastAsia="仿宋" w:cs="仿宋"/>
          <w:snapToGrid w:val="0"/>
          <w:color w:val="000000"/>
          <w:spacing w:val="17"/>
          <w:kern w:val="0"/>
          <w:sz w:val="31"/>
          <w:szCs w:val="31"/>
          <w:lang w:val="en-US" w:eastAsia="zh-CN" w:bidi="ar-SA"/>
        </w:rPr>
      </w:pPr>
    </w:p>
    <w:p w14:paraId="7CCD396E">
      <w:pPr>
        <w:numPr>
          <w:ilvl w:val="0"/>
          <w:numId w:val="0"/>
        </w:numPr>
        <w:kinsoku w:val="0"/>
        <w:autoSpaceDE w:val="0"/>
        <w:autoSpaceDN w:val="0"/>
        <w:adjustRightInd w:val="0"/>
        <w:snapToGrid w:val="0"/>
        <w:spacing w:before="97" w:line="310" w:lineRule="auto"/>
        <w:ind w:right="26" w:rightChars="0"/>
        <w:jc w:val="left"/>
        <w:textAlignment w:val="baseline"/>
        <w:rPr>
          <w:rFonts w:hint="eastAsia" w:ascii="仿宋" w:hAnsi="仿宋" w:eastAsia="仿宋" w:cs="仿宋"/>
          <w:snapToGrid w:val="0"/>
          <w:color w:val="000000"/>
          <w:spacing w:val="17"/>
          <w:kern w:val="0"/>
          <w:sz w:val="31"/>
          <w:szCs w:val="31"/>
          <w:lang w:val="en-US" w:eastAsia="zh-CN" w:bidi="ar-SA"/>
        </w:rPr>
      </w:pPr>
      <w:bookmarkStart w:id="0" w:name="_GoBack"/>
      <w:bookmarkEnd w:id="0"/>
    </w:p>
    <w:p w14:paraId="22A03643">
      <w:pPr>
        <w:numPr>
          <w:ilvl w:val="0"/>
          <w:numId w:val="0"/>
        </w:numPr>
        <w:kinsoku w:val="0"/>
        <w:autoSpaceDE w:val="0"/>
        <w:autoSpaceDN w:val="0"/>
        <w:adjustRightInd w:val="0"/>
        <w:snapToGrid w:val="0"/>
        <w:spacing w:before="97" w:line="310" w:lineRule="auto"/>
        <w:ind w:right="26" w:rightChars="0"/>
        <w:jc w:val="right"/>
        <w:textAlignment w:val="baseline"/>
        <w:rPr>
          <w:rFonts w:hint="eastAsia" w:ascii="仿宋" w:hAnsi="仿宋" w:eastAsia="仿宋" w:cs="仿宋"/>
          <w:snapToGrid w:val="0"/>
          <w:color w:val="000000"/>
          <w:spacing w:val="17"/>
          <w:kern w:val="0"/>
          <w:sz w:val="31"/>
          <w:szCs w:val="31"/>
          <w:lang w:val="en-US" w:eastAsia="zh-CN" w:bidi="ar-SA"/>
        </w:rPr>
      </w:pPr>
      <w:r>
        <w:rPr>
          <w:rFonts w:hint="eastAsia" w:ascii="仿宋" w:hAnsi="仿宋" w:eastAsia="仿宋" w:cs="仿宋"/>
          <w:snapToGrid w:val="0"/>
          <w:color w:val="000000"/>
          <w:spacing w:val="17"/>
          <w:kern w:val="0"/>
          <w:sz w:val="31"/>
          <w:szCs w:val="31"/>
          <w:lang w:val="en-US" w:eastAsia="zh-CN" w:bidi="ar-SA"/>
        </w:rPr>
        <w:t>汤旺县财政局</w:t>
      </w:r>
    </w:p>
    <w:p w14:paraId="2DF12E3F">
      <w:pPr>
        <w:numPr>
          <w:ilvl w:val="0"/>
          <w:numId w:val="0"/>
        </w:numPr>
        <w:kinsoku w:val="0"/>
        <w:autoSpaceDE w:val="0"/>
        <w:autoSpaceDN w:val="0"/>
        <w:adjustRightInd w:val="0"/>
        <w:snapToGrid w:val="0"/>
        <w:spacing w:before="97" w:line="310" w:lineRule="auto"/>
        <w:ind w:right="26" w:rightChars="0"/>
        <w:jc w:val="right"/>
        <w:textAlignment w:val="baseline"/>
        <w:rPr>
          <w:rFonts w:hint="default" w:ascii="仿宋" w:hAnsi="仿宋" w:eastAsia="仿宋" w:cs="仿宋"/>
          <w:snapToGrid w:val="0"/>
          <w:color w:val="000000"/>
          <w:spacing w:val="17"/>
          <w:kern w:val="0"/>
          <w:sz w:val="31"/>
          <w:szCs w:val="31"/>
          <w:lang w:val="en-US" w:eastAsia="zh-CN" w:bidi="ar-SA"/>
        </w:rPr>
      </w:pPr>
      <w:r>
        <w:rPr>
          <w:rFonts w:hint="eastAsia" w:ascii="仿宋" w:hAnsi="仿宋" w:eastAsia="仿宋" w:cs="仿宋"/>
          <w:snapToGrid w:val="0"/>
          <w:color w:val="000000"/>
          <w:spacing w:val="17"/>
          <w:kern w:val="0"/>
          <w:sz w:val="31"/>
          <w:szCs w:val="31"/>
          <w:lang w:val="en-US" w:eastAsia="zh-CN" w:bidi="ar-SA"/>
        </w:rPr>
        <w:t>2025年11月14日</w:t>
      </w:r>
    </w:p>
    <w:p w14:paraId="338BFCFD">
      <w:pPr>
        <w:numPr>
          <w:ilvl w:val="0"/>
          <w:numId w:val="0"/>
        </w:numPr>
        <w:kinsoku w:val="0"/>
        <w:autoSpaceDE w:val="0"/>
        <w:autoSpaceDN w:val="0"/>
        <w:adjustRightInd w:val="0"/>
        <w:snapToGrid w:val="0"/>
        <w:spacing w:before="97" w:line="310" w:lineRule="auto"/>
        <w:ind w:right="26" w:rightChars="0"/>
        <w:jc w:val="left"/>
        <w:textAlignment w:val="baseline"/>
        <w:rPr>
          <w:rFonts w:hint="eastAsia" w:ascii="仿宋" w:hAnsi="仿宋" w:eastAsia="仿宋" w:cs="仿宋"/>
          <w:snapToGrid w:val="0"/>
          <w:color w:val="000000"/>
          <w:spacing w:val="17"/>
          <w:kern w:val="0"/>
          <w:sz w:val="31"/>
          <w:szCs w:val="31"/>
          <w:lang w:val="en-US" w:eastAsia="zh-CN" w:bidi="ar-SA"/>
        </w:rPr>
      </w:pPr>
    </w:p>
    <w:p w14:paraId="0C052209">
      <w:pPr>
        <w:numPr>
          <w:ilvl w:val="0"/>
          <w:numId w:val="0"/>
        </w:numPr>
        <w:kinsoku w:val="0"/>
        <w:autoSpaceDE w:val="0"/>
        <w:autoSpaceDN w:val="0"/>
        <w:adjustRightInd w:val="0"/>
        <w:snapToGrid w:val="0"/>
        <w:spacing w:before="97" w:line="310" w:lineRule="auto"/>
        <w:ind w:right="26" w:rightChars="0"/>
        <w:jc w:val="left"/>
        <w:textAlignment w:val="baseline"/>
        <w:rPr>
          <w:rFonts w:hint="eastAsia" w:ascii="仿宋" w:hAnsi="仿宋" w:eastAsia="仿宋" w:cs="仿宋"/>
          <w:snapToGrid w:val="0"/>
          <w:color w:val="000000"/>
          <w:spacing w:val="17"/>
          <w:kern w:val="0"/>
          <w:sz w:val="31"/>
          <w:szCs w:val="31"/>
          <w:lang w:val="en-US" w:eastAsia="zh-CN" w:bidi="ar-SA"/>
        </w:rPr>
      </w:pPr>
    </w:p>
    <w:p w14:paraId="4425C7C0">
      <w:pPr>
        <w:numPr>
          <w:ilvl w:val="0"/>
          <w:numId w:val="0"/>
        </w:numPr>
        <w:kinsoku w:val="0"/>
        <w:autoSpaceDE w:val="0"/>
        <w:autoSpaceDN w:val="0"/>
        <w:adjustRightInd w:val="0"/>
        <w:snapToGrid w:val="0"/>
        <w:spacing w:before="97" w:line="310" w:lineRule="auto"/>
        <w:ind w:right="26" w:rightChars="0"/>
        <w:jc w:val="left"/>
        <w:textAlignment w:val="baseline"/>
        <w:rPr>
          <w:rFonts w:hint="eastAsia" w:ascii="仿宋" w:hAnsi="仿宋" w:eastAsia="仿宋" w:cs="仿宋"/>
          <w:snapToGrid w:val="0"/>
          <w:color w:val="000000"/>
          <w:spacing w:val="17"/>
          <w:kern w:val="0"/>
          <w:sz w:val="31"/>
          <w:szCs w:val="31"/>
          <w:lang w:val="en-US" w:eastAsia="zh-CN" w:bidi="ar-SA"/>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7BF3">
    <w:pPr>
      <w:spacing w:line="233" w:lineRule="auto"/>
      <w:ind w:left="3829"/>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D63F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ED63F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085B1"/>
    <w:multiLevelType w:val="singleLevel"/>
    <w:tmpl w:val="427085B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8493A"/>
    <w:rsid w:val="04EC4985"/>
    <w:rsid w:val="08320CDF"/>
    <w:rsid w:val="13DE052A"/>
    <w:rsid w:val="249A0F5B"/>
    <w:rsid w:val="2C3167C0"/>
    <w:rsid w:val="2D6342F4"/>
    <w:rsid w:val="2EFC71A8"/>
    <w:rsid w:val="33E655B4"/>
    <w:rsid w:val="3A2368F3"/>
    <w:rsid w:val="3BC97CFC"/>
    <w:rsid w:val="42C403E5"/>
    <w:rsid w:val="435A5D03"/>
    <w:rsid w:val="4C681932"/>
    <w:rsid w:val="4CF36EFE"/>
    <w:rsid w:val="4F7656BC"/>
    <w:rsid w:val="590E560F"/>
    <w:rsid w:val="5A497436"/>
    <w:rsid w:val="61C176C2"/>
    <w:rsid w:val="65F666B6"/>
    <w:rsid w:val="695157D0"/>
    <w:rsid w:val="69D501AF"/>
    <w:rsid w:val="6C111246"/>
    <w:rsid w:val="6C7A503E"/>
    <w:rsid w:val="6EDC73BA"/>
    <w:rsid w:val="6F670FE7"/>
    <w:rsid w:val="70596BE8"/>
    <w:rsid w:val="73133AF6"/>
    <w:rsid w:val="7AE30252"/>
    <w:rsid w:val="7E940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7292</Words>
  <Characters>7351</Characters>
  <Lines>0</Lines>
  <Paragraphs>0</Paragraphs>
  <TotalTime>23</TotalTime>
  <ScaleCrop>false</ScaleCrop>
  <LinksUpToDate>false</LinksUpToDate>
  <CharactersWithSpaces>7432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00001</dc:creator>
  <cp:lastModifiedBy>池慕</cp:lastModifiedBy>
  <cp:lastPrinted>2025-06-27T10:09:00Z</cp:lastPrinted>
  <dcterms:modified xsi:type="dcterms:W3CDTF">2025-11-10T08:48:35Z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eyJoZGlkIjoiMjQ1YTQ5ZWRmZTFjZDA2MzMzNGRlMjNmNTYyZTk4ZmIiLCJ1c2VySWQiOiIzOTc4NDUyNjUifQ==</vt:lpwstr>
  </property>
  <property fmtid="{D5CDD505-2E9C-101B-9397-08002B2CF9AE}" pid="4" name="ICV">
    <vt:lpwstr>46E5214E81E94A75992CDC9703DD3B22_12</vt:lpwstr>
  </property>
</Properties>
</file>