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E39A2">
      <w:pPr>
        <w:spacing w:line="560" w:lineRule="exact"/>
        <w:jc w:val="center"/>
        <w:rPr>
          <w:rFonts w:hint="eastAsia" w:ascii="Times New Roman" w:hAnsi="Times New Roman" w:eastAsia="方正小标宋简体" w:cs="Times New Roman"/>
          <w:sz w:val="44"/>
          <w:szCs w:val="44"/>
          <w:lang w:eastAsia="zh-CN"/>
        </w:rPr>
      </w:pPr>
      <w:r>
        <w:rPr>
          <w:rFonts w:ascii="Times New Roman" w:hAnsi="Times New Roman" w:eastAsia="方正小标宋简体"/>
          <w:sz w:val="44"/>
          <w:szCs w:val="44"/>
        </w:rPr>
        <w:t>关于</w:t>
      </w:r>
      <w:r>
        <w:rPr>
          <w:rFonts w:hint="eastAsia" w:ascii="Times New Roman" w:hAnsi="Times New Roman" w:eastAsia="方正小标宋简体" w:cs="Times New Roman"/>
          <w:sz w:val="44"/>
          <w:szCs w:val="44"/>
          <w:lang w:eastAsia="zh-CN"/>
        </w:rPr>
        <w:t>黑龙江省汤旺县城镇燃气项目</w:t>
      </w:r>
    </w:p>
    <w:p w14:paraId="647DCA69">
      <w:pPr>
        <w:spacing w:line="560" w:lineRule="exact"/>
        <w:jc w:val="center"/>
        <w:rPr>
          <w:rFonts w:ascii="Times New Roman" w:hAnsi="Times New Roman" w:eastAsia="方正小标宋简体"/>
          <w:sz w:val="44"/>
          <w:szCs w:val="44"/>
        </w:rPr>
      </w:pPr>
      <w:r>
        <w:rPr>
          <w:rFonts w:hint="eastAsia" w:ascii="Times New Roman" w:hAnsi="Times New Roman" w:eastAsia="方正小标宋简体" w:cs="Times New Roman"/>
          <w:sz w:val="44"/>
          <w:szCs w:val="44"/>
          <w:lang w:eastAsia="zh-CN"/>
        </w:rPr>
        <w:t>建设项目</w:t>
      </w:r>
      <w:r>
        <w:rPr>
          <w:rFonts w:hint="eastAsia" w:ascii="Times New Roman" w:hAnsi="Times New Roman" w:eastAsia="方正小标宋简体" w:cs="Times New Roman"/>
          <w:sz w:val="44"/>
          <w:szCs w:val="44"/>
          <w:lang w:val="en-US" w:eastAsia="zh-CN"/>
        </w:rPr>
        <w:t>生态</w:t>
      </w:r>
      <w:r>
        <w:rPr>
          <w:rFonts w:ascii="Times New Roman" w:hAnsi="Times New Roman" w:eastAsia="方正小标宋简体" w:cs="Times New Roman"/>
          <w:sz w:val="44"/>
          <w:szCs w:val="44"/>
        </w:rPr>
        <w:t>环境影响报告表</w:t>
      </w:r>
      <w:r>
        <w:rPr>
          <w:rFonts w:ascii="Times New Roman" w:hAnsi="Times New Roman" w:eastAsia="方正小标宋简体"/>
          <w:sz w:val="44"/>
          <w:szCs w:val="44"/>
        </w:rPr>
        <w:t>的批复</w:t>
      </w:r>
    </w:p>
    <w:p w14:paraId="65BECAB5">
      <w:pPr>
        <w:spacing w:line="560" w:lineRule="exact"/>
        <w:jc w:val="center"/>
        <w:rPr>
          <w:rFonts w:ascii="Times New Roman" w:hAnsi="Times New Roman" w:eastAsia="方正小标宋简体"/>
          <w:sz w:val="44"/>
          <w:szCs w:val="44"/>
        </w:rPr>
      </w:pPr>
    </w:p>
    <w:p w14:paraId="5EFC5966">
      <w:pPr>
        <w:keepNext w:val="0"/>
        <w:keepLines w:val="0"/>
        <w:pageBreakBefore w:val="0"/>
        <w:widowControl w:val="0"/>
        <w:kinsoku/>
        <w:wordWrap/>
        <w:overflowPunct/>
        <w:topLinePunct w:val="0"/>
        <w:bidi w:val="0"/>
        <w:spacing w:line="560" w:lineRule="exact"/>
        <w:textAlignment w:val="auto"/>
        <w:rPr>
          <w:rFonts w:ascii="Times New Roman" w:hAnsi="Times New Roman" w:eastAsia="仿宋"/>
          <w:sz w:val="32"/>
          <w:szCs w:val="32"/>
        </w:rPr>
      </w:pPr>
      <w:r>
        <w:rPr>
          <w:rFonts w:hint="eastAsia" w:ascii="Times New Roman" w:hAnsi="Times New Roman" w:eastAsia="仿宋"/>
          <w:sz w:val="32"/>
          <w:szCs w:val="32"/>
        </w:rPr>
        <w:t>汤旺县市政环卫服务中心</w:t>
      </w:r>
      <w:r>
        <w:rPr>
          <w:rFonts w:ascii="Times New Roman" w:hAnsi="Times New Roman" w:eastAsia="仿宋"/>
          <w:sz w:val="32"/>
          <w:szCs w:val="32"/>
        </w:rPr>
        <w:t>：</w:t>
      </w:r>
    </w:p>
    <w:p w14:paraId="3A6722A9">
      <w:pPr>
        <w:keepNext w:val="0"/>
        <w:keepLines w:val="0"/>
        <w:pageBreakBefore w:val="0"/>
        <w:widowControl w:val="0"/>
        <w:kinsoku/>
        <w:wordWrap/>
        <w:overflowPunct/>
        <w:topLinePunct w:val="0"/>
        <w:bidi w:val="0"/>
        <w:spacing w:line="560" w:lineRule="exact"/>
        <w:ind w:firstLine="640" w:firstLineChars="200"/>
        <w:textAlignment w:val="auto"/>
        <w:rPr>
          <w:rFonts w:ascii="Times New Roman" w:hAnsi="Times New Roman" w:eastAsia="仿宋"/>
          <w:sz w:val="32"/>
          <w:szCs w:val="32"/>
        </w:rPr>
      </w:pPr>
      <w:r>
        <w:rPr>
          <w:rFonts w:ascii="Times New Roman" w:hAnsi="Times New Roman" w:eastAsia="仿宋"/>
          <w:sz w:val="32"/>
          <w:szCs w:val="32"/>
        </w:rPr>
        <w:t>你单位报送的《</w:t>
      </w:r>
      <w:r>
        <w:rPr>
          <w:rFonts w:hint="eastAsia" w:ascii="Times New Roman" w:hAnsi="Times New Roman" w:eastAsia="仿宋" w:cs="Times New Roman"/>
          <w:sz w:val="32"/>
          <w:szCs w:val="32"/>
          <w:lang w:eastAsia="zh-CN"/>
        </w:rPr>
        <w:t>黑龙江省汤旺县城镇燃气项目</w:t>
      </w:r>
      <w:r>
        <w:rPr>
          <w:rFonts w:hint="eastAsia" w:ascii="Times New Roman" w:hAnsi="Times New Roman" w:eastAsia="仿宋" w:cs="Times New Roman"/>
          <w:sz w:val="32"/>
          <w:szCs w:val="32"/>
          <w:lang w:val="en-US" w:eastAsia="zh-CN"/>
        </w:rPr>
        <w:t>生态</w:t>
      </w:r>
      <w:r>
        <w:rPr>
          <w:rFonts w:ascii="Times New Roman" w:hAnsi="Times New Roman" w:eastAsia="仿宋"/>
          <w:sz w:val="32"/>
          <w:szCs w:val="32"/>
        </w:rPr>
        <w:t>环境影响评价报告表》（以下简称《报告表》）收悉。经研究，批复如下：</w:t>
      </w:r>
    </w:p>
    <w:p w14:paraId="7BE3117F">
      <w:pPr>
        <w:keepNext w:val="0"/>
        <w:keepLines w:val="0"/>
        <w:pageBreakBefore w:val="0"/>
        <w:widowControl w:val="0"/>
        <w:kinsoku/>
        <w:wordWrap/>
        <w:overflowPunct/>
        <w:topLinePunct w:val="0"/>
        <w:bidi w:val="0"/>
        <w:spacing w:line="560" w:lineRule="exact"/>
        <w:ind w:firstLine="643" w:firstLineChars="200"/>
        <w:textAlignment w:val="auto"/>
        <w:rPr>
          <w:rFonts w:ascii="Times New Roman" w:hAnsi="Times New Roman" w:eastAsia="仿宋"/>
          <w:b/>
          <w:bCs/>
          <w:sz w:val="32"/>
          <w:szCs w:val="32"/>
        </w:rPr>
      </w:pPr>
      <w:r>
        <w:rPr>
          <w:rFonts w:ascii="Times New Roman" w:hAnsi="Times New Roman" w:eastAsia="仿宋"/>
          <w:b/>
          <w:bCs/>
          <w:sz w:val="32"/>
          <w:szCs w:val="32"/>
        </w:rPr>
        <w:t>一、项目基本情况</w:t>
      </w:r>
    </w:p>
    <w:p w14:paraId="47913608">
      <w:pPr>
        <w:keepNext w:val="0"/>
        <w:keepLines w:val="0"/>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sz w:val="32"/>
          <w:szCs w:val="32"/>
          <w:lang w:val="en-US" w:eastAsia="zh-CN"/>
        </w:rPr>
      </w:pPr>
      <w:bookmarkStart w:id="0" w:name="_Hlk113032400"/>
      <w:r>
        <w:rPr>
          <w:rFonts w:ascii="Times New Roman" w:hAnsi="Times New Roman" w:eastAsia="仿宋"/>
          <w:sz w:val="32"/>
          <w:szCs w:val="32"/>
        </w:rPr>
        <w:t>本项目</w:t>
      </w:r>
      <w:r>
        <w:rPr>
          <w:rFonts w:hint="eastAsia" w:ascii="仿宋" w:hAnsi="仿宋" w:eastAsia="仿宋" w:cs="仿宋"/>
          <w:sz w:val="32"/>
          <w:szCs w:val="32"/>
        </w:rPr>
        <w:t>位于黑龙江省伊春市汤旺县乌伊岭镇环城路西侧60m，</w:t>
      </w:r>
      <w:bookmarkEnd w:id="0"/>
      <w:r>
        <w:rPr>
          <w:rFonts w:hint="eastAsia" w:ascii="仿宋" w:hAnsi="仿宋" w:eastAsia="仿宋" w:cs="仿宋"/>
          <w:sz w:val="32"/>
          <w:szCs w:val="32"/>
          <w:lang w:val="en-US" w:eastAsia="zh-CN"/>
        </w:rPr>
        <w:t>本项目建设规模为</w:t>
      </w:r>
      <w:r>
        <w:rPr>
          <w:rFonts w:hint="eastAsia" w:ascii="仿宋" w:hAnsi="仿宋" w:eastAsia="仿宋" w:cs="仿宋"/>
          <w:color w:val="auto"/>
          <w:sz w:val="32"/>
          <w:szCs w:val="32"/>
        </w:rPr>
        <w:t>新建LNG地上气化站一座，</w:t>
      </w:r>
      <w:r>
        <w:rPr>
          <w:rFonts w:hint="eastAsia" w:ascii="仿宋" w:hAnsi="仿宋" w:eastAsia="仿宋" w:cs="仿宋"/>
          <w:color w:val="auto"/>
          <w:sz w:val="32"/>
          <w:szCs w:val="32"/>
          <w:lang w:val="en-US" w:eastAsia="zh-CN"/>
        </w:rPr>
        <w:t>设置22个175L钢瓶</w:t>
      </w:r>
      <w:r>
        <w:rPr>
          <w:rFonts w:hint="eastAsia" w:ascii="仿宋" w:hAnsi="仿宋" w:eastAsia="仿宋" w:cs="仿宋"/>
          <w:color w:val="auto"/>
          <w:kern w:val="0"/>
          <w:sz w:val="32"/>
          <w:szCs w:val="32"/>
          <w:lang w:eastAsia="zh-CN"/>
        </w:rPr>
        <w:t>，</w:t>
      </w:r>
      <w:r>
        <w:rPr>
          <w:rFonts w:hint="eastAsia" w:ascii="仿宋" w:hAnsi="仿宋" w:eastAsia="仿宋" w:cs="仿宋"/>
          <w:color w:val="auto"/>
          <w:sz w:val="32"/>
          <w:szCs w:val="32"/>
        </w:rPr>
        <w:t>气化能力为</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00m</w:t>
      </w:r>
      <w:r>
        <w:rPr>
          <w:rFonts w:hint="eastAsia" w:ascii="仿宋" w:hAnsi="仿宋" w:eastAsia="仿宋" w:cs="仿宋"/>
          <w:color w:val="auto"/>
          <w:sz w:val="32"/>
          <w:szCs w:val="32"/>
          <w:vertAlign w:val="superscript"/>
        </w:rPr>
        <w:t>3</w:t>
      </w:r>
      <w:r>
        <w:rPr>
          <w:rFonts w:hint="eastAsia" w:ascii="仿宋" w:hAnsi="仿宋" w:eastAsia="仿宋" w:cs="仿宋"/>
          <w:color w:val="auto"/>
          <w:sz w:val="32"/>
          <w:szCs w:val="32"/>
        </w:rPr>
        <w:t>/h。中压管线</w:t>
      </w:r>
      <w:r>
        <w:rPr>
          <w:rFonts w:hint="eastAsia" w:ascii="仿宋" w:hAnsi="仿宋" w:eastAsia="仿宋" w:cs="仿宋"/>
          <w:color w:val="auto"/>
          <w:sz w:val="32"/>
          <w:szCs w:val="32"/>
          <w:lang w:val="en-US" w:eastAsia="zh-CN"/>
        </w:rPr>
        <w:t>3.3</w:t>
      </w:r>
      <w:r>
        <w:rPr>
          <w:rFonts w:hint="eastAsia" w:ascii="仿宋" w:hAnsi="仿宋" w:eastAsia="仿宋" w:cs="仿宋"/>
          <w:color w:val="auto"/>
          <w:sz w:val="32"/>
          <w:szCs w:val="32"/>
        </w:rPr>
        <w:t>公里，庭院管</w:t>
      </w:r>
      <w:r>
        <w:rPr>
          <w:rFonts w:hint="eastAsia" w:ascii="仿宋" w:hAnsi="仿宋" w:eastAsia="仿宋" w:cs="仿宋"/>
          <w:color w:val="auto"/>
          <w:sz w:val="32"/>
          <w:szCs w:val="32"/>
          <w:lang w:val="en-US" w:eastAsia="zh-CN"/>
        </w:rPr>
        <w:t>13.2</w:t>
      </w:r>
      <w:r>
        <w:rPr>
          <w:rFonts w:hint="eastAsia" w:ascii="仿宋" w:hAnsi="仿宋" w:eastAsia="仿宋" w:cs="仿宋"/>
          <w:color w:val="auto"/>
          <w:sz w:val="32"/>
          <w:szCs w:val="32"/>
        </w:rPr>
        <w:t>公里，入户装置3000套(含燃气表、阀门及入户管等)。</w:t>
      </w:r>
      <w:r>
        <w:rPr>
          <w:rFonts w:hint="eastAsia" w:ascii="仿宋" w:hAnsi="仿宋" w:eastAsia="仿宋" w:cs="仿宋"/>
          <w:color w:val="000000"/>
          <w:sz w:val="32"/>
          <w:szCs w:val="32"/>
          <w:lang w:val="en-US" w:eastAsia="zh-CN"/>
        </w:rPr>
        <w:t>项目总投资1800万元，其中环保投资20万元，环保投资占总投资1.11%。</w:t>
      </w:r>
    </w:p>
    <w:p w14:paraId="74AE4F80">
      <w:pPr>
        <w:keepNext w:val="0"/>
        <w:keepLines w:val="0"/>
        <w:pageBreakBefore w:val="0"/>
        <w:widowControl w:val="0"/>
        <w:kinsoku/>
        <w:wordWrap/>
        <w:overflowPunct/>
        <w:topLinePunct w:val="0"/>
        <w:bidi w:val="0"/>
        <w:spacing w:line="560" w:lineRule="exact"/>
        <w:ind w:firstLine="643" w:firstLineChars="200"/>
        <w:textAlignment w:val="auto"/>
        <w:rPr>
          <w:rFonts w:ascii="Times New Roman" w:hAnsi="Times New Roman" w:eastAsia="仿宋"/>
          <w:sz w:val="32"/>
          <w:szCs w:val="32"/>
        </w:rPr>
      </w:pPr>
      <w:r>
        <w:rPr>
          <w:rFonts w:ascii="Times New Roman" w:hAnsi="Times New Roman" w:eastAsia="仿宋"/>
          <w:b/>
          <w:bCs/>
          <w:sz w:val="32"/>
          <w:szCs w:val="32"/>
        </w:rPr>
        <w:t>二、环境保护措施落实和管理</w:t>
      </w:r>
      <w:r>
        <w:rPr>
          <w:rFonts w:ascii="Times New Roman" w:hAnsi="Times New Roman" w:eastAsia="仿宋"/>
          <w:sz w:val="32"/>
          <w:szCs w:val="32"/>
        </w:rPr>
        <w:t>　</w:t>
      </w:r>
    </w:p>
    <w:p w14:paraId="4B0A719F">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（一）施工期间管理</w:t>
      </w:r>
    </w:p>
    <w:p w14:paraId="2708E3DC">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施工期间主要污染源为施工机械、运输车辆汽车尾气，以及施工引起的粉尘和土料运输引起的道路扬尘等。企业需要加强施工扬尘、噪声污染控制，作业场地要采取围挡、围护措施，材料堆放场地应进行硬化处理，每天定期洒水抑尘，运输车辆要覆盖；建筑垃圾拉运至市政部门指定地点，生活垃圾由环卫部门统一处置，避免随意堆放。施工期间需强化噪声污染控制，严格施工时间，需连续作业时，应向当地生态环境部门申请，批准后方可施工。</w:t>
      </w:r>
    </w:p>
    <w:p w14:paraId="228E0BE8">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（二）运营期间管理</w:t>
      </w:r>
    </w:p>
    <w:p w14:paraId="3682FFD7">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1、大气环境保护措施</w:t>
      </w:r>
    </w:p>
    <w:p w14:paraId="7711CE4B">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lang w:val="en-US" w:eastAsia="zh-CN"/>
        </w:rPr>
        <w:t>运营期废气主要为高空放散过程、卸车过程、首次充装和检修时产生的少量甲烷、烃类和天然气调压计量后进行加臭产生的臭气。厂界非甲烷总烃执行《大气污染物综合排放标准》（</w:t>
      </w:r>
      <w:r>
        <w:rPr>
          <w:rFonts w:hint="default" w:ascii="仿宋" w:hAnsi="仿宋" w:eastAsia="仿宋" w:cs="仿宋"/>
          <w:bCs/>
          <w:color w:val="auto"/>
          <w:sz w:val="32"/>
          <w:szCs w:val="32"/>
          <w:highlight w:val="none"/>
          <w:lang w:val="en-US" w:eastAsia="zh-CN"/>
        </w:rPr>
        <w:t>GB16297-1996</w:t>
      </w:r>
      <w:r>
        <w:rPr>
          <w:rFonts w:hint="eastAsia" w:ascii="仿宋" w:hAnsi="仿宋" w:eastAsia="仿宋" w:cs="仿宋"/>
          <w:bCs/>
          <w:color w:val="auto"/>
          <w:sz w:val="32"/>
          <w:szCs w:val="32"/>
          <w:highlight w:val="none"/>
          <w:lang w:val="en-US" w:eastAsia="zh-CN"/>
        </w:rPr>
        <w:t>）中表2中无组织排放监控浓度限值，厂区内非甲烷总烃执行</w:t>
      </w:r>
      <w:r>
        <w:rPr>
          <w:rFonts w:hint="default" w:ascii="仿宋" w:hAnsi="仿宋" w:eastAsia="仿宋" w:cs="仿宋"/>
          <w:bCs/>
          <w:color w:val="auto"/>
          <w:sz w:val="32"/>
          <w:szCs w:val="32"/>
          <w:highlight w:val="none"/>
          <w:lang w:val="en-US" w:eastAsia="zh-CN"/>
        </w:rPr>
        <w:t>《挥发性有机物无组织排放控制标准》（GB37822-2019）</w:t>
      </w:r>
      <w:r>
        <w:rPr>
          <w:rFonts w:hint="eastAsia" w:ascii="仿宋" w:hAnsi="仿宋" w:eastAsia="仿宋" w:cs="仿宋"/>
          <w:bCs/>
          <w:color w:val="auto"/>
          <w:sz w:val="32"/>
          <w:szCs w:val="32"/>
          <w:highlight w:val="none"/>
          <w:lang w:val="en-US" w:eastAsia="zh-CN"/>
        </w:rPr>
        <w:t>中无组织排放限值，厂界臭气浓度执行《恶臭污染物排放标准》（GB14554-93）表1厂界限值浓度。</w:t>
      </w:r>
    </w:p>
    <w:p w14:paraId="1BED6B37">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2、地表水环境保护措施</w:t>
      </w:r>
    </w:p>
    <w:p w14:paraId="0D76D3BC">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rPr>
        <w:t>生活污水排入防渗化粪池，定期清掏，外运堆肥，不外排。</w:t>
      </w:r>
    </w:p>
    <w:p w14:paraId="292DA4DA">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3、声环境保护措施</w:t>
      </w:r>
    </w:p>
    <w:p w14:paraId="0C28A7C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选用低噪声设备，采取</w:t>
      </w:r>
      <w:r>
        <w:rPr>
          <w:rFonts w:hint="eastAsia" w:ascii="仿宋" w:hAnsi="仿宋" w:eastAsia="仿宋" w:cs="仿宋"/>
          <w:bCs/>
          <w:color w:val="auto"/>
          <w:sz w:val="32"/>
          <w:szCs w:val="32"/>
          <w:highlight w:val="none"/>
          <w:lang w:val="en-US" w:eastAsia="zh-CN"/>
        </w:rPr>
        <w:t>减振</w:t>
      </w:r>
      <w:r>
        <w:rPr>
          <w:rFonts w:hint="eastAsia" w:ascii="仿宋" w:hAnsi="仿宋" w:eastAsia="仿宋" w:cs="仿宋"/>
          <w:bCs/>
          <w:color w:val="auto"/>
          <w:sz w:val="32"/>
          <w:szCs w:val="32"/>
          <w:highlight w:val="none"/>
        </w:rPr>
        <w:t>降噪措施，减少噪声对外环境的影响。厂界噪声</w:t>
      </w:r>
      <w:r>
        <w:rPr>
          <w:rFonts w:hint="eastAsia" w:ascii="仿宋" w:hAnsi="仿宋" w:eastAsia="仿宋" w:cs="仿宋"/>
          <w:bCs/>
          <w:color w:val="auto"/>
          <w:sz w:val="32"/>
          <w:szCs w:val="32"/>
          <w:highlight w:val="none"/>
          <w:lang w:val="en-US" w:eastAsia="zh-CN"/>
        </w:rPr>
        <w:t>执行</w:t>
      </w:r>
      <w:r>
        <w:rPr>
          <w:rFonts w:hint="eastAsia" w:ascii="仿宋" w:hAnsi="仿宋" w:eastAsia="仿宋" w:cs="仿宋"/>
          <w:bCs/>
          <w:color w:val="auto"/>
          <w:sz w:val="32"/>
          <w:szCs w:val="32"/>
          <w:highlight w:val="none"/>
        </w:rPr>
        <w:t>《工业企业厂界环境噪声排放标准》（GB12348-2008）中2类标准限值要求</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声环境敏感目标执行《声环境质量标准》（GB3096-2008）中2类标准</w:t>
      </w:r>
    </w:p>
    <w:p w14:paraId="1F4397DB">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4、固体废物处置措施</w:t>
      </w:r>
    </w:p>
    <w:p w14:paraId="17A316AD">
      <w:pPr>
        <w:keepNext w:val="0"/>
        <w:keepLines w:val="0"/>
        <w:pageBreakBefore w:val="0"/>
        <w:widowControl w:val="0"/>
        <w:numPr>
          <w:ilvl w:val="0"/>
          <w:numId w:val="0"/>
        </w:numPr>
        <w:kinsoku/>
        <w:wordWrap/>
        <w:overflowPunct/>
        <w:topLinePunct w:val="0"/>
        <w:bidi w:val="0"/>
        <w:adjustRightInd w:val="0"/>
        <w:snapToGrid w:val="0"/>
        <w:spacing w:line="560" w:lineRule="exact"/>
        <w:ind w:left="0" w:leftChars="0"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运营期产生的</w:t>
      </w:r>
      <w:r>
        <w:rPr>
          <w:rFonts w:hint="eastAsia" w:ascii="仿宋" w:hAnsi="仿宋" w:eastAsia="仿宋" w:cs="仿宋"/>
          <w:color w:val="auto"/>
          <w:sz w:val="32"/>
          <w:szCs w:val="32"/>
          <w:highlight w:val="none"/>
          <w:lang w:eastAsia="zh-CN"/>
        </w:rPr>
        <w:t>废滤芯、废胶垫、废阀门收集后外售，生活垃圾委托环卫清运，废润滑油、含油废抹布、手套等废劳保</w:t>
      </w:r>
      <w:r>
        <w:rPr>
          <w:rFonts w:hint="eastAsia" w:ascii="仿宋" w:hAnsi="仿宋" w:eastAsia="仿宋" w:cs="仿宋"/>
          <w:color w:val="auto"/>
          <w:sz w:val="32"/>
          <w:szCs w:val="32"/>
          <w:highlight w:val="none"/>
          <w:lang w:val="en-US" w:eastAsia="zh-CN"/>
        </w:rPr>
        <w:t>暂存于危废贮存点，委托有资质单位进行处置</w:t>
      </w:r>
      <w:r>
        <w:rPr>
          <w:rFonts w:hint="eastAsia" w:ascii="仿宋" w:hAnsi="仿宋" w:eastAsia="仿宋" w:cs="仿宋"/>
          <w:color w:val="auto"/>
          <w:sz w:val="32"/>
          <w:szCs w:val="32"/>
          <w:highlight w:val="none"/>
          <w:lang w:eastAsia="zh-CN"/>
        </w:rPr>
        <w:t>。</w:t>
      </w:r>
    </w:p>
    <w:p w14:paraId="439D52F1">
      <w:pPr>
        <w:keepNext w:val="0"/>
        <w:keepLines w:val="0"/>
        <w:pageBreakBefore w:val="0"/>
        <w:widowControl w:val="0"/>
        <w:numPr>
          <w:ilvl w:val="0"/>
          <w:numId w:val="1"/>
        </w:numPr>
        <w:kinsoku/>
        <w:wordWrap/>
        <w:overflowPunct/>
        <w:topLinePunct w:val="0"/>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环境风险</w:t>
      </w:r>
      <w:bookmarkStart w:id="1" w:name="_GoBack"/>
      <w:bookmarkEnd w:id="1"/>
    </w:p>
    <w:p w14:paraId="6ED2FCCD">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Times New Roman"/>
          <w:color w:val="auto"/>
          <w:kern w:val="2"/>
          <w:sz w:val="32"/>
          <w:szCs w:val="32"/>
          <w:highlight w:val="none"/>
          <w:lang w:val="en-US" w:eastAsia="zh-CN" w:bidi="ar-SA"/>
        </w:rPr>
        <w:t>项目运行期间，必须严格按照有关规范标准的要求，落实污染物监测计划，建立健全安全生产管理体系，明确人员责任分工，加强现场监管与巡检，严格落实环境风险防范措施，加强控制和管理，杜绝、避免和减轻环境风险。制定环境风险应急预案，加强应急演练。</w:t>
      </w:r>
    </w:p>
    <w:p w14:paraId="14144819">
      <w:pPr>
        <w:keepNext w:val="0"/>
        <w:keepLines w:val="0"/>
        <w:pageBreakBefore w:val="0"/>
        <w:widowControl w:val="0"/>
        <w:kinsoku/>
        <w:wordWrap/>
        <w:overflowPunct/>
        <w:topLinePunct w:val="0"/>
        <w:bidi w:val="0"/>
        <w:spacing w:line="560" w:lineRule="exact"/>
        <w:ind w:firstLine="643" w:firstLineChars="200"/>
        <w:textAlignment w:val="auto"/>
        <w:rPr>
          <w:rFonts w:ascii="Times New Roman" w:hAnsi="Times New Roman" w:eastAsia="仿宋"/>
          <w:b/>
          <w:bCs/>
          <w:sz w:val="32"/>
          <w:szCs w:val="32"/>
        </w:rPr>
      </w:pPr>
      <w:r>
        <w:rPr>
          <w:rFonts w:ascii="Times New Roman" w:hAnsi="Times New Roman" w:eastAsia="仿宋"/>
          <w:b/>
          <w:bCs/>
          <w:sz w:val="32"/>
          <w:szCs w:val="32"/>
        </w:rPr>
        <w:t>三、环境监管要求</w:t>
      </w:r>
    </w:p>
    <w:p w14:paraId="65D6AF35">
      <w:pPr>
        <w:keepNext w:val="0"/>
        <w:keepLines w:val="0"/>
        <w:pageBreakBefore w:val="0"/>
        <w:widowControl w:val="0"/>
        <w:kinsoku/>
        <w:wordWrap/>
        <w:overflowPunct/>
        <w:topLinePunct w:val="0"/>
        <w:bidi w:val="0"/>
        <w:spacing w:line="560" w:lineRule="exact"/>
        <w:ind w:firstLine="640" w:firstLineChars="200"/>
        <w:textAlignment w:val="auto"/>
        <w:rPr>
          <w:rFonts w:ascii="Times New Roman" w:hAnsi="Times New Roman" w:eastAsia="仿宋"/>
          <w:sz w:val="32"/>
          <w:szCs w:val="32"/>
        </w:rPr>
      </w:pPr>
      <w:r>
        <w:rPr>
          <w:rFonts w:ascii="Times New Roman" w:hAnsi="Times New Roman" w:eastAsia="仿宋"/>
          <w:sz w:val="32"/>
          <w:szCs w:val="32"/>
        </w:rPr>
        <w:t>建设单位要严格落实报告表提出的各项环保措施，由</w:t>
      </w:r>
      <w:r>
        <w:rPr>
          <w:rFonts w:hint="eastAsia" w:ascii="Times New Roman" w:hAnsi="Times New Roman" w:eastAsia="仿宋"/>
          <w:sz w:val="32"/>
          <w:szCs w:val="32"/>
          <w:lang w:val="en-US" w:eastAsia="zh-CN"/>
        </w:rPr>
        <w:t>汤旺</w:t>
      </w:r>
      <w:r>
        <w:rPr>
          <w:rFonts w:ascii="Times New Roman" w:hAnsi="Times New Roman" w:eastAsia="仿宋"/>
          <w:sz w:val="32"/>
          <w:szCs w:val="32"/>
        </w:rPr>
        <w:t>生态环境局对该项目的环境保护进行全程严格环境监督管理，确保该项目的环境保护措施全面落实。建成后，建设单位应当按照国务院环境保护行政主管部门规定的标准和程序，对配套建设的环境保护设施进行验收，编制验收报告并依法向社会公开验收报告，项目方可正式投入使用。正式投产前要及时办理排污许可</w:t>
      </w:r>
      <w:r>
        <w:rPr>
          <w:rFonts w:hint="eastAsia" w:ascii="Times New Roman" w:hAnsi="Times New Roman" w:eastAsia="仿宋"/>
          <w:sz w:val="32"/>
          <w:szCs w:val="32"/>
          <w:lang w:val="en-US" w:eastAsia="zh-CN"/>
        </w:rPr>
        <w:t>手续</w:t>
      </w:r>
      <w:r>
        <w:rPr>
          <w:rFonts w:ascii="Times New Roman" w:hAnsi="Times New Roman" w:eastAsia="仿宋"/>
          <w:sz w:val="32"/>
          <w:szCs w:val="32"/>
        </w:rPr>
        <w:t>。</w:t>
      </w:r>
    </w:p>
    <w:p w14:paraId="1D516047">
      <w:pPr>
        <w:keepNext w:val="0"/>
        <w:keepLines w:val="0"/>
        <w:pageBreakBefore w:val="0"/>
        <w:widowControl w:val="0"/>
        <w:kinsoku/>
        <w:wordWrap/>
        <w:overflowPunct/>
        <w:topLinePunct w:val="0"/>
        <w:bidi w:val="0"/>
        <w:spacing w:line="560" w:lineRule="exact"/>
        <w:ind w:firstLine="640" w:firstLineChars="200"/>
        <w:textAlignment w:val="auto"/>
        <w:rPr>
          <w:rFonts w:ascii="Times New Roman" w:hAnsi="Times New Roman" w:eastAsia="仿宋"/>
          <w:sz w:val="32"/>
          <w:szCs w:val="32"/>
        </w:rPr>
      </w:pPr>
      <w:r>
        <w:rPr>
          <w:rFonts w:ascii="Times New Roman" w:hAnsi="Times New Roman" w:eastAsia="仿宋"/>
          <w:sz w:val="32"/>
          <w:szCs w:val="32"/>
        </w:rPr>
        <w:t>《报告表》经批准后，项目的性质、规模、地点或者防治污染的措施发生重大变动的，应当重新报批该项目的环境影响报告表。自环境影响报告表批复文件批准之日起，如超过5年方决定开工建设的，环境影响报告表应当重新审核。</w:t>
      </w:r>
    </w:p>
    <w:p w14:paraId="01F07A37">
      <w:pPr>
        <w:keepNext w:val="0"/>
        <w:keepLines w:val="0"/>
        <w:pageBreakBefore w:val="0"/>
        <w:widowControl w:val="0"/>
        <w:kinsoku/>
        <w:wordWrap/>
        <w:overflowPunct/>
        <w:topLinePunct w:val="0"/>
        <w:bidi w:val="0"/>
        <w:spacing w:line="560" w:lineRule="exact"/>
        <w:ind w:firstLine="640" w:firstLineChars="200"/>
        <w:textAlignment w:val="auto"/>
      </w:pPr>
      <w:r>
        <w:rPr>
          <w:rFonts w:ascii="Times New Roman" w:hAnsi="Times New Roman" w:eastAsia="仿宋"/>
          <w:sz w:val="32"/>
          <w:szCs w:val="32"/>
        </w:rPr>
        <w:t>本批复仅说明该项目符合环境保护相关要求，项目建设单位在项目开工建设前应依法取得其他相关部门的合法批件，确保项目的建设实施符合相关法律法规的规定。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C96D">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EB15B">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295372"/>
    <w:multiLevelType w:val="singleLevel"/>
    <w:tmpl w:val="D0295372"/>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xYjE0ODY0YzUzMzU2N2EyOTFkYjA4ZWVlNmY4NDEifQ=="/>
  </w:docVars>
  <w:rsids>
    <w:rsidRoot w:val="2B251EBB"/>
    <w:rsid w:val="1191065F"/>
    <w:rsid w:val="15DD1031"/>
    <w:rsid w:val="2B251EBB"/>
    <w:rsid w:val="2E4A2BFD"/>
    <w:rsid w:val="364843C1"/>
    <w:rsid w:val="38B16709"/>
    <w:rsid w:val="428D727E"/>
    <w:rsid w:val="437F5697"/>
    <w:rsid w:val="4536433C"/>
    <w:rsid w:val="667E0B34"/>
    <w:rsid w:val="71796E11"/>
    <w:rsid w:val="72FD0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0"/>
    <w:pPr>
      <w:ind w:left="420" w:leftChars="200"/>
    </w:pPr>
  </w:style>
  <w:style w:type="paragraph" w:styleId="6">
    <w:name w:val="Body Text First Indent"/>
    <w:basedOn w:val="2"/>
    <w:next w:val="1"/>
    <w:qFormat/>
    <w:uiPriority w:val="0"/>
    <w:pPr>
      <w:spacing w:after="120"/>
      <w:ind w:firstLine="420" w:firstLineChars="100"/>
    </w:pPr>
    <w:rPr>
      <w:sz w:val="21"/>
    </w:rPr>
  </w:style>
  <w:style w:type="character" w:styleId="9">
    <w:name w:val="page number"/>
    <w:qFormat/>
    <w:uiPriority w:val="0"/>
  </w:style>
  <w:style w:type="paragraph" w:customStyle="1" w:styleId="10">
    <w:name w:val="Default"/>
    <w:basedOn w:val="11"/>
    <w:next w:val="1"/>
    <w:autoRedefine/>
    <w:unhideWhenUsed/>
    <w:qFormat/>
    <w:uiPriority w:val="0"/>
    <w:pPr>
      <w:widowControl w:val="0"/>
      <w:autoSpaceDE w:val="0"/>
      <w:autoSpaceDN w:val="0"/>
    </w:pPr>
    <w:rPr>
      <w:rFonts w:hint="eastAsia" w:hAnsi="宋体"/>
      <w:color w:val="000000"/>
    </w:rPr>
  </w:style>
  <w:style w:type="paragraph" w:customStyle="1" w:styleId="11">
    <w:name w:val="纯文本1"/>
    <w:autoRedefine/>
    <w:qFormat/>
    <w:uiPriority w:val="0"/>
    <w:pPr>
      <w:adjustRightInd w:val="0"/>
      <w:jc w:val="center"/>
      <w:textAlignment w:val="baseline"/>
    </w:pPr>
    <w:rPr>
      <w:rFonts w:ascii="宋体" w:hAnsi="Courier New" w:eastAsia="宋体"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1328</Words>
  <Characters>1410</Characters>
  <Lines>0</Lines>
  <Paragraphs>0</Paragraphs>
  <TotalTime>13</TotalTime>
  <ScaleCrop>false</ScaleCrop>
  <LinksUpToDate>false</LinksUpToDate>
  <CharactersWithSpaces>1411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2024-08-12T07:52:00Z</dcterms:created>
  <dc:creator>唐人街的教堂丶</dc:creator>
  <cp:lastModifiedBy>心有阳光</cp:lastModifiedBy>
  <cp:lastPrinted>2026-09-14T05:45:49Z</cp:lastPrinted>
  <dcterms:modified xsi:type="dcterms:W3CDTF">2026-09-14T05:52:41Z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1268F4149CA94ED2B46B68B9F5E47F37_13</vt:lpwstr>
  </property>
  <property fmtid="{D5CDD505-2E9C-101B-9397-08002B2CF9AE}" pid="4" name="KSOTemplateDocerSaveRecord">
    <vt:lpwstr>eyJoZGlkIjoiNTNhNjQ2OGQ3Y2Q5MDMzOWExODAxYmQ0MzZiMWNjNTQiLCJ1c2VySWQiOiIxMDAyNDU0Njc5In0=</vt:lpwstr>
  </property>
</Properties>
</file>