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B205E">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44"/>
          <w:szCs w:val="44"/>
          <w:lang w:val="en-US" w:eastAsia="zh-CN"/>
        </w:rPr>
      </w:pPr>
    </w:p>
    <w:p w14:paraId="0FC71DB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44"/>
          <w:szCs w:val="44"/>
          <w:lang w:val="en-US" w:eastAsia="zh-CN"/>
        </w:rPr>
      </w:pPr>
    </w:p>
    <w:p w14:paraId="4E2B0DFE">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44"/>
          <w:szCs w:val="44"/>
          <w:lang w:val="en-US" w:eastAsia="zh-CN"/>
        </w:rPr>
      </w:pPr>
    </w:p>
    <w:p w14:paraId="2D60451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44"/>
          <w:szCs w:val="44"/>
          <w:lang w:val="en-US" w:eastAsia="zh-CN"/>
        </w:rPr>
      </w:pPr>
    </w:p>
    <w:p w14:paraId="543A08F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伊汤环审〔2026〕6号</w:t>
      </w:r>
    </w:p>
    <w:p w14:paraId="33FDCFF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新宋体" w:hAnsi="新宋体" w:eastAsia="新宋体" w:cs="新宋体"/>
          <w:b/>
          <w:bCs/>
          <w:color w:val="auto"/>
          <w:sz w:val="44"/>
          <w:szCs w:val="44"/>
          <w:lang w:val="en-US" w:eastAsia="zh-CN"/>
        </w:rPr>
      </w:pPr>
    </w:p>
    <w:p w14:paraId="24DE39A2">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cs="Times New Roman"/>
          <w:color w:val="auto"/>
          <w:sz w:val="44"/>
          <w:szCs w:val="44"/>
          <w:lang w:eastAsia="zh-CN"/>
        </w:rPr>
      </w:pPr>
      <w:r>
        <w:rPr>
          <w:rFonts w:ascii="Times New Roman" w:hAnsi="Times New Roman" w:eastAsia="方正小标宋简体"/>
          <w:color w:val="auto"/>
          <w:sz w:val="44"/>
          <w:szCs w:val="44"/>
        </w:rPr>
        <w:t>关于</w:t>
      </w:r>
      <w:r>
        <w:rPr>
          <w:rFonts w:hint="eastAsia" w:ascii="Times New Roman" w:hAnsi="Times New Roman" w:eastAsia="方正小标宋简体" w:cs="Times New Roman"/>
          <w:color w:val="auto"/>
          <w:sz w:val="44"/>
          <w:szCs w:val="44"/>
          <w:lang w:val="en-US" w:eastAsia="zh-CN"/>
        </w:rPr>
        <w:t>乌伊岭区天池洗浴中心新建锅炉</w:t>
      </w:r>
      <w:r>
        <w:rPr>
          <w:rFonts w:hint="eastAsia" w:ascii="Times New Roman" w:hAnsi="Times New Roman" w:eastAsia="方正小标宋简体" w:cs="Times New Roman"/>
          <w:color w:val="auto"/>
          <w:sz w:val="44"/>
          <w:szCs w:val="44"/>
          <w:lang w:eastAsia="zh-CN"/>
        </w:rPr>
        <w:t>项目</w:t>
      </w:r>
    </w:p>
    <w:p w14:paraId="647DCA6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color w:val="auto"/>
          <w:sz w:val="44"/>
          <w:szCs w:val="44"/>
        </w:rPr>
      </w:pPr>
      <w:r>
        <w:rPr>
          <w:rFonts w:hint="eastAsia" w:ascii="Times New Roman" w:hAnsi="Times New Roman" w:eastAsia="方正小标宋简体" w:cs="Times New Roman"/>
          <w:color w:val="auto"/>
          <w:sz w:val="44"/>
          <w:szCs w:val="44"/>
          <w:lang w:eastAsia="zh-CN"/>
        </w:rPr>
        <w:t>建设项目</w:t>
      </w:r>
      <w:r>
        <w:rPr>
          <w:rFonts w:hint="eastAsia" w:ascii="Times New Roman" w:hAnsi="Times New Roman" w:eastAsia="方正小标宋简体" w:cs="Times New Roman"/>
          <w:color w:val="auto"/>
          <w:sz w:val="44"/>
          <w:szCs w:val="44"/>
          <w:lang w:val="en-US" w:eastAsia="zh-CN"/>
        </w:rPr>
        <w:t>生态</w:t>
      </w:r>
      <w:r>
        <w:rPr>
          <w:rFonts w:ascii="Times New Roman" w:hAnsi="Times New Roman" w:eastAsia="方正小标宋简体" w:cs="Times New Roman"/>
          <w:color w:val="auto"/>
          <w:sz w:val="44"/>
          <w:szCs w:val="44"/>
        </w:rPr>
        <w:t>环境影响报告表</w:t>
      </w:r>
      <w:r>
        <w:rPr>
          <w:rFonts w:ascii="Times New Roman" w:hAnsi="Times New Roman" w:eastAsia="方正小标宋简体"/>
          <w:color w:val="auto"/>
          <w:sz w:val="44"/>
          <w:szCs w:val="44"/>
        </w:rPr>
        <w:t>的批复</w:t>
      </w:r>
    </w:p>
    <w:p w14:paraId="65BECAB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color w:val="auto"/>
          <w:sz w:val="44"/>
          <w:szCs w:val="44"/>
        </w:rPr>
      </w:pPr>
    </w:p>
    <w:p w14:paraId="5EFC5966">
      <w:pPr>
        <w:keepNext w:val="0"/>
        <w:keepLines w:val="0"/>
        <w:pageBreakBefore w:val="0"/>
        <w:widowControl w:val="0"/>
        <w:kinsoku/>
        <w:wordWrap/>
        <w:overflowPunct/>
        <w:topLinePunct w:val="0"/>
        <w:bidi w:val="0"/>
        <w:snapToGrid/>
        <w:spacing w:beforeAutospacing="0" w:afterAutospacing="0" w:line="560" w:lineRule="exact"/>
        <w:textAlignment w:val="auto"/>
        <w:rPr>
          <w:rFonts w:ascii="Times New Roman" w:hAnsi="Times New Roman" w:eastAsia="仿宋"/>
          <w:color w:val="auto"/>
          <w:sz w:val="32"/>
          <w:szCs w:val="32"/>
        </w:rPr>
      </w:pPr>
      <w:r>
        <w:rPr>
          <w:rFonts w:hint="eastAsia" w:ascii="Times New Roman" w:hAnsi="Times New Roman" w:eastAsia="仿宋"/>
          <w:color w:val="auto"/>
          <w:sz w:val="32"/>
          <w:szCs w:val="32"/>
          <w:lang w:val="en-US" w:eastAsia="zh-CN"/>
        </w:rPr>
        <w:t>乌伊岭区天池洗浴中心</w:t>
      </w:r>
      <w:r>
        <w:rPr>
          <w:rFonts w:ascii="Times New Roman" w:hAnsi="Times New Roman" w:eastAsia="仿宋"/>
          <w:color w:val="auto"/>
          <w:sz w:val="32"/>
          <w:szCs w:val="32"/>
        </w:rPr>
        <w:t>：</w:t>
      </w:r>
    </w:p>
    <w:p w14:paraId="3A6722A9">
      <w:pPr>
        <w:keepNext w:val="0"/>
        <w:keepLines w:val="0"/>
        <w:pageBreakBefore w:val="0"/>
        <w:widowControl w:val="0"/>
        <w:kinsoku/>
        <w:wordWrap/>
        <w:overflowPunct/>
        <w:topLinePunct w:val="0"/>
        <w:bidi w:val="0"/>
        <w:snapToGrid/>
        <w:spacing w:beforeAutospacing="0" w:afterAutospacing="0" w:line="560" w:lineRule="exact"/>
        <w:ind w:firstLine="640" w:firstLineChars="200"/>
        <w:textAlignment w:val="auto"/>
        <w:rPr>
          <w:rFonts w:ascii="Times New Roman" w:hAnsi="Times New Roman" w:eastAsia="仿宋"/>
          <w:color w:val="auto"/>
          <w:sz w:val="32"/>
          <w:szCs w:val="32"/>
        </w:rPr>
      </w:pPr>
      <w:r>
        <w:rPr>
          <w:rFonts w:ascii="Times New Roman" w:hAnsi="Times New Roman" w:eastAsia="仿宋"/>
          <w:color w:val="auto"/>
          <w:sz w:val="32"/>
          <w:szCs w:val="32"/>
        </w:rPr>
        <w:t>你单位报送的《</w:t>
      </w:r>
      <w:r>
        <w:rPr>
          <w:rFonts w:hint="eastAsia" w:ascii="Times New Roman" w:hAnsi="Times New Roman" w:eastAsia="仿宋" w:cs="Times New Roman"/>
          <w:color w:val="auto"/>
          <w:sz w:val="32"/>
          <w:szCs w:val="32"/>
          <w:lang w:val="en-US" w:eastAsia="zh-CN"/>
        </w:rPr>
        <w:t>乌伊岭区天池洗浴中心</w:t>
      </w:r>
      <w:r>
        <w:rPr>
          <w:rFonts w:hint="eastAsia" w:ascii="Times New Roman" w:hAnsi="Times New Roman" w:eastAsia="仿宋" w:cs="Times New Roman"/>
          <w:color w:val="auto"/>
          <w:sz w:val="32"/>
          <w:szCs w:val="32"/>
          <w:lang w:eastAsia="zh-CN"/>
        </w:rPr>
        <w:t>项目</w:t>
      </w:r>
      <w:r>
        <w:rPr>
          <w:rFonts w:hint="eastAsia" w:ascii="Times New Roman" w:hAnsi="Times New Roman" w:eastAsia="仿宋" w:cs="Times New Roman"/>
          <w:color w:val="auto"/>
          <w:sz w:val="32"/>
          <w:szCs w:val="32"/>
          <w:lang w:val="en-US" w:eastAsia="zh-CN"/>
        </w:rPr>
        <w:t>生态</w:t>
      </w:r>
      <w:r>
        <w:rPr>
          <w:rFonts w:ascii="Times New Roman" w:hAnsi="Times New Roman" w:eastAsia="仿宋"/>
          <w:color w:val="auto"/>
          <w:sz w:val="32"/>
          <w:szCs w:val="32"/>
        </w:rPr>
        <w:t>环境影响评价报告表》（以下简称《报告表》）收悉。经研究，批复如下：</w:t>
      </w:r>
    </w:p>
    <w:p w14:paraId="7BE3117F">
      <w:pPr>
        <w:keepNext w:val="0"/>
        <w:keepLines w:val="0"/>
        <w:pageBreakBefore w:val="0"/>
        <w:widowControl w:val="0"/>
        <w:kinsoku/>
        <w:wordWrap/>
        <w:overflowPunct/>
        <w:topLinePunct w:val="0"/>
        <w:bidi w:val="0"/>
        <w:snapToGrid/>
        <w:spacing w:beforeAutospacing="0" w:afterAutospacing="0" w:line="560" w:lineRule="exact"/>
        <w:ind w:firstLine="643" w:firstLineChars="200"/>
        <w:textAlignment w:val="auto"/>
        <w:rPr>
          <w:rFonts w:ascii="Times New Roman" w:hAnsi="Times New Roman" w:eastAsia="仿宋"/>
          <w:b/>
          <w:bCs/>
          <w:color w:val="auto"/>
          <w:sz w:val="32"/>
          <w:szCs w:val="32"/>
        </w:rPr>
      </w:pPr>
      <w:r>
        <w:rPr>
          <w:rFonts w:ascii="Times New Roman" w:hAnsi="Times New Roman" w:eastAsia="仿宋"/>
          <w:b/>
          <w:bCs/>
          <w:color w:val="auto"/>
          <w:sz w:val="32"/>
          <w:szCs w:val="32"/>
        </w:rPr>
        <w:t>一、项目基本情况</w:t>
      </w:r>
    </w:p>
    <w:p w14:paraId="47913608">
      <w:pPr>
        <w:keepNext w:val="0"/>
        <w:keepLines w:val="0"/>
        <w:pageBreakBefore w:val="0"/>
        <w:widowControl w:val="0"/>
        <w:kinsoku/>
        <w:wordWrap/>
        <w:overflowPunct/>
        <w:topLinePunct w:val="0"/>
        <w:bidi w:val="0"/>
        <w:snapToGrid/>
        <w:spacing w:beforeAutospacing="0" w:afterAutospacing="0" w:line="560" w:lineRule="exact"/>
        <w:ind w:firstLine="640" w:firstLineChars="200"/>
        <w:textAlignment w:val="auto"/>
        <w:rPr>
          <w:rFonts w:hint="default" w:ascii="仿宋" w:hAnsi="仿宋" w:eastAsia="仿宋" w:cs="仿宋"/>
          <w:color w:val="auto"/>
          <w:sz w:val="32"/>
          <w:szCs w:val="32"/>
          <w:lang w:val="en-US" w:eastAsia="zh-CN"/>
        </w:rPr>
      </w:pPr>
      <w:bookmarkStart w:id="0" w:name="_Hlk113032400"/>
      <w:r>
        <w:rPr>
          <w:rFonts w:ascii="Times New Roman" w:hAnsi="Times New Roman" w:eastAsia="仿宋"/>
          <w:color w:val="auto"/>
          <w:sz w:val="32"/>
          <w:szCs w:val="32"/>
        </w:rPr>
        <w:t>本项目</w:t>
      </w:r>
      <w:r>
        <w:rPr>
          <w:rFonts w:hint="eastAsia" w:ascii="仿宋" w:hAnsi="仿宋" w:eastAsia="仿宋" w:cs="仿宋"/>
          <w:color w:val="auto"/>
          <w:sz w:val="32"/>
          <w:szCs w:val="32"/>
        </w:rPr>
        <w:t>位</w:t>
      </w:r>
      <w:r>
        <w:rPr>
          <w:rFonts w:hint="eastAsia" w:ascii="Times New Roman" w:hAnsi="Times New Roman" w:eastAsia="仿宋" w:cs="Times New Roman"/>
          <w:color w:val="auto"/>
          <w:sz w:val="32"/>
          <w:szCs w:val="32"/>
        </w:rPr>
        <w:t>于</w:t>
      </w:r>
      <w:r>
        <w:rPr>
          <w:rFonts w:hint="default" w:ascii="Times New Roman" w:hAnsi="Times New Roman" w:eastAsia="仿宋" w:cs="Times New Roman"/>
          <w:color w:val="auto"/>
          <w:sz w:val="32"/>
          <w:szCs w:val="32"/>
          <w:lang w:val="en-US" w:eastAsia="zh-CN"/>
        </w:rPr>
        <w:t>黑龙江省伊春市汤旺县乌伊岭镇林铁综合楼</w:t>
      </w:r>
      <w:r>
        <w:rPr>
          <w:rFonts w:hint="eastAsia" w:ascii="Times New Roman" w:hAnsi="Times New Roman" w:eastAsia="仿宋" w:cs="Times New Roman"/>
          <w:color w:val="auto"/>
          <w:sz w:val="32"/>
          <w:szCs w:val="32"/>
        </w:rPr>
        <w:t>，</w:t>
      </w:r>
      <w:bookmarkEnd w:id="0"/>
      <w:r>
        <w:rPr>
          <w:rFonts w:hint="eastAsia" w:ascii="Times New Roman" w:hAnsi="Times New Roman" w:eastAsia="仿宋" w:cs="Times New Roman"/>
          <w:color w:val="auto"/>
          <w:sz w:val="32"/>
          <w:szCs w:val="32"/>
          <w:lang w:val="en-US" w:eastAsia="zh-CN"/>
        </w:rPr>
        <w:t>本项目</w:t>
      </w:r>
      <w:r>
        <w:rPr>
          <w:rFonts w:hint="default" w:ascii="Times New Roman" w:hAnsi="Times New Roman" w:eastAsia="仿宋" w:cs="Times New Roman"/>
          <w:color w:val="auto"/>
          <w:sz w:val="32"/>
          <w:szCs w:val="32"/>
          <w:lang w:val="en-US" w:eastAsia="zh-CN"/>
        </w:rPr>
        <w:t>企业拟在现有空闲建筑物内新建一台1.8MW生物质热水锅炉及配套附属设施与环保设施，为洗浴中心提供热水服务，洗浴规模不扩建。</w:t>
      </w:r>
      <w:r>
        <w:rPr>
          <w:rFonts w:hint="eastAsia" w:ascii="仿宋" w:hAnsi="仿宋" w:eastAsia="仿宋" w:cs="仿宋"/>
          <w:color w:val="auto"/>
          <w:sz w:val="32"/>
          <w:szCs w:val="32"/>
          <w:lang w:val="en-US" w:eastAsia="zh-CN"/>
        </w:rPr>
        <w:t>项目总投资20万元，其中环保投资7万元，环保投资占总投资35%。</w:t>
      </w:r>
    </w:p>
    <w:p w14:paraId="74AE4F80">
      <w:pPr>
        <w:keepNext w:val="0"/>
        <w:keepLines w:val="0"/>
        <w:pageBreakBefore w:val="0"/>
        <w:widowControl w:val="0"/>
        <w:kinsoku/>
        <w:wordWrap/>
        <w:overflowPunct/>
        <w:topLinePunct w:val="0"/>
        <w:bidi w:val="0"/>
        <w:snapToGrid/>
        <w:spacing w:beforeAutospacing="0" w:afterAutospacing="0" w:line="560" w:lineRule="exact"/>
        <w:ind w:firstLine="643" w:firstLineChars="200"/>
        <w:textAlignment w:val="auto"/>
        <w:rPr>
          <w:rFonts w:ascii="Times New Roman" w:hAnsi="Times New Roman" w:eastAsia="仿宋"/>
          <w:color w:val="auto"/>
          <w:sz w:val="32"/>
          <w:szCs w:val="32"/>
        </w:rPr>
      </w:pPr>
      <w:r>
        <w:rPr>
          <w:rFonts w:ascii="Times New Roman" w:hAnsi="Times New Roman" w:eastAsia="仿宋"/>
          <w:b/>
          <w:bCs/>
          <w:color w:val="auto"/>
          <w:sz w:val="32"/>
          <w:szCs w:val="32"/>
        </w:rPr>
        <w:t>二、环境保护措施落实和管理</w:t>
      </w:r>
      <w:r>
        <w:rPr>
          <w:rFonts w:ascii="Times New Roman" w:hAnsi="Times New Roman" w:eastAsia="仿宋"/>
          <w:color w:val="auto"/>
          <w:sz w:val="32"/>
          <w:szCs w:val="32"/>
        </w:rPr>
        <w:t>　</w:t>
      </w:r>
    </w:p>
    <w:p w14:paraId="4B0A719F">
      <w:pPr>
        <w:keepNext w:val="0"/>
        <w:keepLines w:val="0"/>
        <w:pageBreakBefore w:val="0"/>
        <w:widowControl w:val="0"/>
        <w:numPr>
          <w:ilvl w:val="0"/>
          <w:numId w:val="0"/>
        </w:numPr>
        <w:kinsoku/>
        <w:wordWrap/>
        <w:overflowPunct/>
        <w:topLinePunct w:val="0"/>
        <w:autoSpaceDE/>
        <w:autoSpaceDN/>
        <w:bidi w:val="0"/>
        <w:snapToGrid/>
        <w:spacing w:beforeAutospacing="0" w:afterAutospacing="0"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（一）施工期间管理</w:t>
      </w:r>
    </w:p>
    <w:p w14:paraId="75AAE074">
      <w:pPr>
        <w:keepNext w:val="0"/>
        <w:keepLines w:val="0"/>
        <w:pageBreakBefore w:val="0"/>
        <w:widowControl w:val="0"/>
        <w:numPr>
          <w:ilvl w:val="0"/>
          <w:numId w:val="0"/>
        </w:numPr>
        <w:kinsoku/>
        <w:wordWrap/>
        <w:overflowPunct/>
        <w:topLinePunct w:val="0"/>
        <w:autoSpaceDE/>
        <w:autoSpaceDN/>
        <w:bidi w:val="0"/>
        <w:snapToGrid/>
        <w:spacing w:beforeAutospacing="0" w:afterAutospacing="0"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项目施工在现有建筑内开展，主要为设备安装调试，无大规模土建作业。企业要做好施工期污染管控，施工过程中做好扬尘控制，作业区域做好围挡防护，建筑材料规范堆放；建筑垃圾清运至市政指定地点处置，施工人员生活垃圾交由环卫部门统一处置。合理安排施工作业时间，减少施工噪声对周边环境的影响，确需连续作业的，应向生态环境主管部门申请获批后方可实施。</w:t>
      </w:r>
    </w:p>
    <w:p w14:paraId="228E0BE8">
      <w:pPr>
        <w:keepNext w:val="0"/>
        <w:keepLines w:val="0"/>
        <w:pageBreakBefore w:val="0"/>
        <w:widowControl w:val="0"/>
        <w:numPr>
          <w:ilvl w:val="0"/>
          <w:numId w:val="0"/>
        </w:numPr>
        <w:kinsoku/>
        <w:wordWrap/>
        <w:overflowPunct/>
        <w:topLinePunct w:val="0"/>
        <w:autoSpaceDE/>
        <w:autoSpaceDN/>
        <w:bidi w:val="0"/>
        <w:snapToGrid/>
        <w:spacing w:beforeAutospacing="0" w:afterAutospacing="0"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（二）运营期间管理</w:t>
      </w:r>
    </w:p>
    <w:p w14:paraId="79ADB7F1">
      <w:pPr>
        <w:pStyle w:val="6"/>
        <w:keepNext w:val="0"/>
        <w:keepLines w:val="0"/>
        <w:pageBreakBefore w:val="0"/>
        <w:widowControl/>
        <w:suppressLineNumbers w:val="0"/>
        <w:kinsoku/>
        <w:wordWrap/>
        <w:overflowPunct/>
        <w:topLinePunct w:val="0"/>
        <w:bidi w:val="0"/>
        <w:snapToGrid/>
        <w:spacing w:beforeAutospacing="0" w:afterAutospacing="0" w:line="560" w:lineRule="exact"/>
        <w:ind w:firstLine="640" w:firstLineChars="200"/>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1、大气环境保护措施</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本项目运营废气主要为1.8MW生物质热水锅炉燃烧产生的烟气以及灰渣、收尘暂存转运产生的无组织颗粒物。锅炉配套低氮燃烧技术，烟气经旋风+布袋除尘器处理后通过30m高排气筒DA001排放，颗粒物、二氧化硫、氮氧化物、林格曼黑度执行《锅炉大气污染物排放标准》（GB13271</w:t>
      </w:r>
      <w:r>
        <w:rPr>
          <w:rFonts w:hint="default" w:ascii="Times New Roman" w:hAnsi="Times New Roman" w:eastAsia="仿宋" w:cs="Times New Roman"/>
          <w:color w:val="auto"/>
          <w:kern w:val="2"/>
          <w:sz w:val="32"/>
          <w:szCs w:val="32"/>
          <w:lang w:val="en-US" w:eastAsia="zh-CN" w:bidi="ar-SA"/>
        </w:rPr>
        <w:noBreakHyphen/>
      </w:r>
      <w:r>
        <w:rPr>
          <w:rFonts w:hint="default" w:ascii="Times New Roman" w:hAnsi="Times New Roman" w:eastAsia="仿宋" w:cs="Times New Roman"/>
          <w:color w:val="auto"/>
          <w:kern w:val="2"/>
          <w:sz w:val="32"/>
          <w:szCs w:val="32"/>
          <w:lang w:val="en-US" w:eastAsia="zh-CN" w:bidi="ar-SA"/>
        </w:rPr>
        <w:t>2014）表2燃煤锅炉排放限值；锅炉灰渣、除尘器收尘采取湿式增湿、袋装密封，密闭区域暂存，管控无组织颗粒物，厂界无组织颗粒物执行《大气污染物综合排放标准》（GB16297</w:t>
      </w:r>
      <w:r>
        <w:rPr>
          <w:rFonts w:hint="default" w:ascii="Times New Roman" w:hAnsi="Times New Roman" w:eastAsia="仿宋" w:cs="Times New Roman"/>
          <w:color w:val="auto"/>
          <w:kern w:val="2"/>
          <w:sz w:val="32"/>
          <w:szCs w:val="32"/>
          <w:lang w:val="en-US" w:eastAsia="zh-CN" w:bidi="ar-SA"/>
        </w:rPr>
        <w:noBreakHyphen/>
      </w:r>
      <w:r>
        <w:rPr>
          <w:rFonts w:hint="default" w:ascii="Times New Roman" w:hAnsi="Times New Roman" w:eastAsia="仿宋" w:cs="Times New Roman"/>
          <w:color w:val="auto"/>
          <w:kern w:val="2"/>
          <w:sz w:val="32"/>
          <w:szCs w:val="32"/>
          <w:lang w:val="en-US" w:eastAsia="zh-CN" w:bidi="ar-SA"/>
        </w:rPr>
        <w:t>1996）表2无组织排放监控浓度限值。落实自行监测计划，定期对锅炉烟气开展监测，保障除尘设施稳定运行，严禁闲置、拆除污染治理设施。</w:t>
      </w:r>
    </w:p>
    <w:p w14:paraId="19E5C2DE">
      <w:pPr>
        <w:pStyle w:val="6"/>
        <w:keepNext w:val="0"/>
        <w:keepLines w:val="0"/>
        <w:pageBreakBefore w:val="0"/>
        <w:widowControl/>
        <w:suppressLineNumbers w:val="0"/>
        <w:kinsoku/>
        <w:wordWrap/>
        <w:overflowPunct/>
        <w:topLinePunct w:val="0"/>
        <w:bidi w:val="0"/>
        <w:snapToGrid/>
        <w:spacing w:beforeAutospacing="0" w:afterAutospacing="0" w:line="560" w:lineRule="exact"/>
        <w:ind w:firstLine="640" w:firstLineChars="200"/>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2、地表水环境保护措施</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本项目废水为锅炉排污水、软化处理废水，废水经1m³钢制沉淀池絮凝沉淀处理，满足《污水综合排放标准》（GB8978</w:t>
      </w:r>
      <w:r>
        <w:rPr>
          <w:rFonts w:hint="default" w:ascii="Times New Roman" w:hAnsi="Times New Roman" w:eastAsia="仿宋" w:cs="Times New Roman"/>
          <w:color w:val="auto"/>
          <w:kern w:val="2"/>
          <w:sz w:val="32"/>
          <w:szCs w:val="32"/>
          <w:lang w:val="en-US" w:eastAsia="zh-CN" w:bidi="ar-SA"/>
        </w:rPr>
        <w:noBreakHyphen/>
      </w:r>
      <w:r>
        <w:rPr>
          <w:rFonts w:hint="default" w:ascii="Times New Roman" w:hAnsi="Times New Roman" w:eastAsia="仿宋" w:cs="Times New Roman"/>
          <w:color w:val="auto"/>
          <w:kern w:val="2"/>
          <w:sz w:val="32"/>
          <w:szCs w:val="32"/>
          <w:lang w:val="en-US" w:eastAsia="zh-CN" w:bidi="ar-SA"/>
        </w:rPr>
        <w:t>1996）表4三级标准后接入市政污水管网，排入汤旺县乌伊岭污水处理厂进一步处理；洗浴中心原有生活污水、洗浴废水依托现有设施排入市政污水管网。不得出现废水直排、偷排现象。</w:t>
      </w:r>
    </w:p>
    <w:p w14:paraId="683F38AA">
      <w:pPr>
        <w:pStyle w:val="6"/>
        <w:keepNext w:val="0"/>
        <w:keepLines w:val="0"/>
        <w:pageBreakBefore w:val="0"/>
        <w:widowControl/>
        <w:suppressLineNumbers w:val="0"/>
        <w:kinsoku/>
        <w:wordWrap/>
        <w:overflowPunct/>
        <w:topLinePunct w:val="0"/>
        <w:bidi w:val="0"/>
        <w:snapToGrid/>
        <w:spacing w:beforeAutospacing="0" w:afterAutospacing="0" w:line="560" w:lineRule="exact"/>
        <w:ind w:firstLine="640" w:firstLineChars="200"/>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3、声环境保护措施</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风机、水泵、锅炉等选用低噪声设备，设备基座采取减振处理，依托锅炉房建筑墙体隔声降噪。项目各厂界噪声执行《社会生活环境噪声排放标准》（GB22337</w:t>
      </w:r>
      <w:r>
        <w:rPr>
          <w:rFonts w:hint="default" w:ascii="Times New Roman" w:hAnsi="Times New Roman" w:eastAsia="仿宋" w:cs="Times New Roman"/>
          <w:color w:val="auto"/>
          <w:kern w:val="2"/>
          <w:sz w:val="32"/>
          <w:szCs w:val="32"/>
          <w:lang w:val="en-US" w:eastAsia="zh-CN" w:bidi="ar-SA"/>
        </w:rPr>
        <w:noBreakHyphen/>
      </w:r>
      <w:r>
        <w:rPr>
          <w:rFonts w:hint="default" w:ascii="Times New Roman" w:hAnsi="Times New Roman" w:eastAsia="仿宋" w:cs="Times New Roman"/>
          <w:color w:val="auto"/>
          <w:kern w:val="2"/>
          <w:sz w:val="32"/>
          <w:szCs w:val="32"/>
          <w:lang w:val="en-US" w:eastAsia="zh-CN" w:bidi="ar-SA"/>
        </w:rPr>
        <w:t>2008），东边界执行4类标准，南、西、北边界执行2类标准；周边声环境敏感点和谐小区执行《声环境质量标准》（GB3096</w:t>
      </w:r>
      <w:r>
        <w:rPr>
          <w:rFonts w:hint="default" w:ascii="Times New Roman" w:hAnsi="Times New Roman" w:eastAsia="仿宋" w:cs="Times New Roman"/>
          <w:color w:val="auto"/>
          <w:kern w:val="2"/>
          <w:sz w:val="32"/>
          <w:szCs w:val="32"/>
          <w:lang w:val="en-US" w:eastAsia="zh-CN" w:bidi="ar-SA"/>
        </w:rPr>
        <w:noBreakHyphen/>
      </w:r>
      <w:r>
        <w:rPr>
          <w:rFonts w:hint="default" w:ascii="Times New Roman" w:hAnsi="Times New Roman" w:eastAsia="仿宋" w:cs="Times New Roman"/>
          <w:color w:val="auto"/>
          <w:kern w:val="2"/>
          <w:sz w:val="32"/>
          <w:szCs w:val="32"/>
          <w:lang w:val="en-US" w:eastAsia="zh-CN" w:bidi="ar-SA"/>
        </w:rPr>
        <w:t>2008）2类标准。定期维护设备，避免设备异常噪声扰民。</w:t>
      </w:r>
    </w:p>
    <w:p w14:paraId="09BAD3AC">
      <w:pPr>
        <w:pStyle w:val="6"/>
        <w:keepNext w:val="0"/>
        <w:keepLines w:val="0"/>
        <w:pageBreakBefore w:val="0"/>
        <w:widowControl/>
        <w:suppressLineNumbers w:val="0"/>
        <w:kinsoku/>
        <w:wordWrap/>
        <w:overflowPunct/>
        <w:topLinePunct w:val="0"/>
        <w:bidi w:val="0"/>
        <w:snapToGrid/>
        <w:spacing w:beforeAutospacing="0" w:afterAutospacing="0" w:line="560" w:lineRule="exact"/>
        <w:ind w:firstLine="640" w:firstLineChars="200"/>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4、固体废物处置措施</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锅炉炉渣、布袋除尘器收集粉尘属于一般工业固体废物，袋装密闭暂存于锅炉房密闭固废区域，定期外售综合利用；废离子交换树脂、废布袋由供货厂家上门直接回收，不在厂内长期贮存；员工生活垃圾委托环卫部门统一清运处置。一般固废贮存严格执行《一般工业固体废物贮存和填埋污染控制标准》（GB18599</w:t>
      </w:r>
      <w:r>
        <w:rPr>
          <w:rFonts w:hint="default" w:ascii="Times New Roman" w:hAnsi="Times New Roman" w:eastAsia="仿宋" w:cs="Times New Roman"/>
          <w:color w:val="auto"/>
          <w:kern w:val="2"/>
          <w:sz w:val="32"/>
          <w:szCs w:val="32"/>
          <w:lang w:val="en-US" w:eastAsia="zh-CN" w:bidi="ar-SA"/>
        </w:rPr>
        <w:noBreakHyphen/>
      </w:r>
      <w:r>
        <w:rPr>
          <w:rFonts w:hint="default" w:ascii="Times New Roman" w:hAnsi="Times New Roman" w:eastAsia="仿宋" w:cs="Times New Roman"/>
          <w:color w:val="auto"/>
          <w:kern w:val="2"/>
          <w:sz w:val="32"/>
          <w:szCs w:val="32"/>
          <w:lang w:val="en-US" w:eastAsia="zh-CN" w:bidi="ar-SA"/>
        </w:rPr>
        <w:t>2020），建立固废管理台账，记录产生、暂存、转运、去向信息。</w:t>
      </w:r>
    </w:p>
    <w:p w14:paraId="6ED2FCCD">
      <w:pPr>
        <w:pStyle w:val="6"/>
        <w:keepNext w:val="0"/>
        <w:keepLines w:val="0"/>
        <w:pageBreakBefore w:val="0"/>
        <w:widowControl/>
        <w:suppressLineNumbers w:val="0"/>
        <w:kinsoku/>
        <w:wordWrap/>
        <w:overflowPunct/>
        <w:topLinePunct w:val="0"/>
        <w:bidi w:val="0"/>
        <w:snapToGrid/>
        <w:spacing w:beforeAutospacing="0" w:afterAutospacing="0" w:line="560" w:lineRule="exact"/>
        <w:ind w:firstLine="640" w:firstLineChars="200"/>
        <w:rPr>
          <w:rFonts w:hint="eastAsia"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color w:val="auto"/>
          <w:kern w:val="2"/>
          <w:sz w:val="32"/>
          <w:szCs w:val="32"/>
          <w:lang w:val="en-US" w:eastAsia="zh-CN" w:bidi="ar-SA"/>
        </w:rPr>
        <w:t>5、环境风险</w:t>
      </w:r>
      <w:r>
        <w:rPr>
          <w:rFonts w:hint="eastAsia" w:ascii="Times New Roman" w:hAnsi="Times New Roman" w:eastAsia="仿宋" w:cs="Times New Roman"/>
          <w:color w:val="auto"/>
          <w:kern w:val="2"/>
          <w:sz w:val="32"/>
          <w:szCs w:val="32"/>
          <w:lang w:val="en-US" w:eastAsia="zh-CN" w:bidi="ar-SA"/>
        </w:rPr>
        <w:t>。</w:t>
      </w:r>
      <w:r>
        <w:rPr>
          <w:rFonts w:hint="default" w:ascii="Times New Roman" w:hAnsi="Times New Roman" w:eastAsia="仿宋" w:cs="Times New Roman"/>
          <w:color w:val="auto"/>
          <w:kern w:val="2"/>
          <w:sz w:val="32"/>
          <w:szCs w:val="32"/>
          <w:lang w:val="en-US" w:eastAsia="zh-CN" w:bidi="ar-SA"/>
        </w:rPr>
        <w:t>燃料间严格落实防火管控要求，配套灭火器、消火栓等消防器材，张贴防火警示标识；建立安全生产管理体系，落实岗位巡检制度，定期检查锅炉、除尘、水处理等设备；制定环境风险应急处置方案，防范生物质燃料火灾等环境风险，定期开展隐患排查。落实报告表提出的监测计划，保障环保设施稳定运行。</w:t>
      </w:r>
    </w:p>
    <w:p w14:paraId="14144819">
      <w:pPr>
        <w:keepNext w:val="0"/>
        <w:keepLines w:val="0"/>
        <w:pageBreakBefore w:val="0"/>
        <w:widowControl w:val="0"/>
        <w:kinsoku/>
        <w:wordWrap/>
        <w:overflowPunct/>
        <w:topLinePunct w:val="0"/>
        <w:bidi w:val="0"/>
        <w:snapToGrid/>
        <w:spacing w:beforeAutospacing="0" w:afterAutospacing="0" w:line="560" w:lineRule="exact"/>
        <w:ind w:firstLine="643" w:firstLineChars="200"/>
        <w:textAlignment w:val="auto"/>
        <w:rPr>
          <w:rFonts w:ascii="Times New Roman" w:hAnsi="Times New Roman" w:eastAsia="仿宋"/>
          <w:b/>
          <w:bCs/>
          <w:color w:val="auto"/>
          <w:sz w:val="32"/>
          <w:szCs w:val="32"/>
        </w:rPr>
      </w:pPr>
      <w:r>
        <w:rPr>
          <w:rFonts w:ascii="Times New Roman" w:hAnsi="Times New Roman" w:eastAsia="仿宋"/>
          <w:b/>
          <w:bCs/>
          <w:color w:val="auto"/>
          <w:sz w:val="32"/>
          <w:szCs w:val="32"/>
        </w:rPr>
        <w:t>三、环境监管要求</w:t>
      </w:r>
    </w:p>
    <w:p w14:paraId="65D6AF35">
      <w:pPr>
        <w:keepNext w:val="0"/>
        <w:keepLines w:val="0"/>
        <w:pageBreakBefore w:val="0"/>
        <w:widowControl w:val="0"/>
        <w:kinsoku/>
        <w:wordWrap/>
        <w:overflowPunct/>
        <w:topLinePunct w:val="0"/>
        <w:bidi w:val="0"/>
        <w:snapToGrid/>
        <w:spacing w:beforeAutospacing="0" w:afterAutospacing="0" w:line="560" w:lineRule="exact"/>
        <w:ind w:firstLine="640" w:firstLineChars="200"/>
        <w:textAlignment w:val="auto"/>
        <w:rPr>
          <w:rFonts w:ascii="Times New Roman" w:hAnsi="Times New Roman" w:eastAsia="仿宋"/>
          <w:color w:val="auto"/>
          <w:sz w:val="32"/>
          <w:szCs w:val="32"/>
        </w:rPr>
      </w:pPr>
      <w:r>
        <w:rPr>
          <w:rFonts w:ascii="Times New Roman" w:hAnsi="Times New Roman" w:eastAsia="仿宋"/>
          <w:color w:val="auto"/>
          <w:sz w:val="32"/>
          <w:szCs w:val="32"/>
        </w:rPr>
        <w:t>建设单位要严格落实报告表提出的各项环保措施，由</w:t>
      </w:r>
      <w:r>
        <w:rPr>
          <w:rFonts w:hint="eastAsia" w:ascii="Times New Roman" w:hAnsi="Times New Roman" w:eastAsia="仿宋"/>
          <w:color w:val="auto"/>
          <w:sz w:val="32"/>
          <w:szCs w:val="32"/>
          <w:lang w:val="en-US" w:eastAsia="zh-CN"/>
        </w:rPr>
        <w:t>汤旺</w:t>
      </w:r>
      <w:r>
        <w:rPr>
          <w:rFonts w:ascii="Times New Roman" w:hAnsi="Times New Roman" w:eastAsia="仿宋"/>
          <w:color w:val="auto"/>
          <w:sz w:val="32"/>
          <w:szCs w:val="32"/>
        </w:rPr>
        <w:t>生态环境局对该项目的环境保护进行全程严格环境监督管理，确保该项目的环境保护措施全面落实。建成后，建设单位应当按照国务院环境保护行政主管部门规定的标准和程序，对配套建设的环境保护设施进行验收，编制验收报告并依法向社会公开验收报告，项目方可正式投入使用。正式投产前要及时办理排污许可</w:t>
      </w:r>
      <w:r>
        <w:rPr>
          <w:rFonts w:hint="eastAsia" w:ascii="Times New Roman" w:hAnsi="Times New Roman" w:eastAsia="仿宋"/>
          <w:color w:val="auto"/>
          <w:sz w:val="32"/>
          <w:szCs w:val="32"/>
          <w:lang w:val="en-US" w:eastAsia="zh-CN"/>
        </w:rPr>
        <w:t>手续</w:t>
      </w:r>
      <w:r>
        <w:rPr>
          <w:rFonts w:ascii="Times New Roman" w:hAnsi="Times New Roman" w:eastAsia="仿宋"/>
          <w:color w:val="auto"/>
          <w:sz w:val="32"/>
          <w:szCs w:val="32"/>
        </w:rPr>
        <w:t>。</w:t>
      </w:r>
    </w:p>
    <w:p w14:paraId="1D516047">
      <w:pPr>
        <w:keepNext w:val="0"/>
        <w:keepLines w:val="0"/>
        <w:pageBreakBefore w:val="0"/>
        <w:widowControl w:val="0"/>
        <w:kinsoku/>
        <w:wordWrap/>
        <w:overflowPunct/>
        <w:topLinePunct w:val="0"/>
        <w:bidi w:val="0"/>
        <w:snapToGrid/>
        <w:spacing w:beforeAutospacing="0" w:afterAutospacing="0" w:line="560" w:lineRule="exact"/>
        <w:ind w:firstLine="640" w:firstLineChars="200"/>
        <w:textAlignment w:val="auto"/>
        <w:rPr>
          <w:rFonts w:ascii="Times New Roman" w:hAnsi="Times New Roman" w:eastAsia="仿宋"/>
          <w:color w:val="auto"/>
          <w:sz w:val="32"/>
          <w:szCs w:val="32"/>
        </w:rPr>
      </w:pPr>
      <w:r>
        <w:rPr>
          <w:rFonts w:ascii="Times New Roman" w:hAnsi="Times New Roman" w:eastAsia="仿宋"/>
          <w:color w:val="auto"/>
          <w:sz w:val="32"/>
          <w:szCs w:val="32"/>
        </w:rPr>
        <w:t>《报告表》经批准后，项目的性质、规模、地点或者防治污染的措施发生重大变动的，应当重新报批该项目的环境影响报告表。自环境影响报告表批复文件批准之日起，如超过5年方决定开工建设的，环境影响报告表应当重新审核。</w:t>
      </w:r>
    </w:p>
    <w:p w14:paraId="01F07A37">
      <w:pPr>
        <w:keepNext w:val="0"/>
        <w:keepLines w:val="0"/>
        <w:pageBreakBefore w:val="0"/>
        <w:widowControl w:val="0"/>
        <w:kinsoku/>
        <w:wordWrap/>
        <w:overflowPunct/>
        <w:topLinePunct w:val="0"/>
        <w:bidi w:val="0"/>
        <w:snapToGrid/>
        <w:spacing w:beforeAutospacing="0" w:afterAutospacing="0" w:line="560" w:lineRule="exact"/>
        <w:ind w:firstLine="640" w:firstLineChars="200"/>
        <w:textAlignment w:val="auto"/>
        <w:rPr>
          <w:color w:val="auto"/>
        </w:rPr>
      </w:pPr>
      <w:r>
        <w:rPr>
          <w:rFonts w:ascii="Times New Roman" w:hAnsi="Times New Roman" w:eastAsia="仿宋"/>
          <w:color w:val="auto"/>
          <w:sz w:val="32"/>
          <w:szCs w:val="32"/>
        </w:rPr>
        <w:t>本批复仅说明该项目符合环境保护相关要求，项目建设单位在项目开工建设前应依法取得其他相关部门的合法批件，确保项目的建设实施符合相关法律法规的规定。</w:t>
      </w:r>
      <w:bookmarkStart w:id="1" w:name="_GoBack"/>
      <w:bookmarkEnd w:id="1"/>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C96D">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EB15B">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xYjE0ODY0YzUzMzU2N2EyOTFkYjA4ZWVlNmY4NDEifQ=="/>
  </w:docVars>
  <w:rsids>
    <w:rsidRoot w:val="2B251EBB"/>
    <w:rsid w:val="0B1849B9"/>
    <w:rsid w:val="1191065F"/>
    <w:rsid w:val="15DD1031"/>
    <w:rsid w:val="2B251EBB"/>
    <w:rsid w:val="2E4A2BFD"/>
    <w:rsid w:val="32456B21"/>
    <w:rsid w:val="364843C1"/>
    <w:rsid w:val="38B16709"/>
    <w:rsid w:val="428D727E"/>
    <w:rsid w:val="437F5697"/>
    <w:rsid w:val="4536433C"/>
    <w:rsid w:val="579E7788"/>
    <w:rsid w:val="5A865DA5"/>
    <w:rsid w:val="5DB6161A"/>
    <w:rsid w:val="667E0B34"/>
    <w:rsid w:val="72155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0"/>
    <w:pPr>
      <w:ind w:left="42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next w:val="1"/>
    <w:qFormat/>
    <w:uiPriority w:val="0"/>
    <w:pPr>
      <w:spacing w:after="120"/>
      <w:ind w:firstLine="420" w:firstLineChars="100"/>
    </w:pPr>
    <w:rPr>
      <w:sz w:val="21"/>
    </w:rPr>
  </w:style>
  <w:style w:type="character" w:styleId="10">
    <w:name w:val="Strong"/>
    <w:basedOn w:val="9"/>
    <w:qFormat/>
    <w:uiPriority w:val="0"/>
    <w:rPr>
      <w:b/>
    </w:rPr>
  </w:style>
  <w:style w:type="character" w:styleId="11">
    <w:name w:val="page number"/>
    <w:qFormat/>
    <w:uiPriority w:val="0"/>
  </w:style>
  <w:style w:type="paragraph" w:customStyle="1" w:styleId="12">
    <w:name w:val="Default"/>
    <w:basedOn w:val="13"/>
    <w:next w:val="1"/>
    <w:autoRedefine/>
    <w:unhideWhenUsed/>
    <w:qFormat/>
    <w:uiPriority w:val="0"/>
    <w:pPr>
      <w:widowControl w:val="0"/>
      <w:autoSpaceDE w:val="0"/>
      <w:autoSpaceDN w:val="0"/>
    </w:pPr>
    <w:rPr>
      <w:rFonts w:hint="eastAsia" w:hAnsi="宋体"/>
      <w:color w:val="000000"/>
    </w:rPr>
  </w:style>
  <w:style w:type="paragraph" w:customStyle="1" w:styleId="13">
    <w:name w:val="纯文本1"/>
    <w:autoRedefine/>
    <w:qFormat/>
    <w:uiPriority w:val="0"/>
    <w:pPr>
      <w:adjustRightInd w:val="0"/>
      <w:jc w:val="center"/>
      <w:textAlignment w:val="baseline"/>
    </w:pPr>
    <w:rPr>
      <w:rFonts w:ascii="宋体" w:hAnsi="Courier New" w:eastAsia="宋体" w:cs="Times New Roman"/>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1684</Words>
  <Characters>1778</Characters>
  <Lines>0</Lines>
  <Paragraphs>0</Paragraphs>
  <TotalTime>9</TotalTime>
  <ScaleCrop>false</ScaleCrop>
  <LinksUpToDate>false</LinksUpToDate>
  <CharactersWithSpaces>1810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2024-08-12T07:52:00Z</dcterms:created>
  <dc:creator>唐人街的教堂丶</dc:creator>
  <cp:lastModifiedBy>唐人街的教堂丶</cp:lastModifiedBy>
  <cp:lastPrinted>2024-08-23T06:08:00Z</cp:lastPrinted>
  <dcterms:modified xsi:type="dcterms:W3CDTF">2026-09-20T00:35:28Z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6DC2AA552DF44774850158B110E38B11_13</vt:lpwstr>
  </property>
  <property fmtid="{D5CDD505-2E9C-101B-9397-08002B2CF9AE}" pid="4" name="KSOTemplateDocerSaveRecord">
    <vt:lpwstr>eyJoZGlkIjoiMmUwZTBiMzg0ZWI5ZGQ2ZjllMGVlOTI3MDA5NzdjOWYiLCJ1c2VySWQiOiIyNjI0MjkwNzUifQ==</vt:lpwstr>
  </property>
</Properties>
</file>