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县一届人大</w:t>
      </w:r>
      <w:r>
        <w:rPr>
          <w:rFonts w:hint="eastAsia" w:ascii="黑体" w:hAnsi="黑体" w:eastAsia="黑体" w:cs="黑体"/>
          <w:color w:val="000000"/>
          <w:sz w:val="28"/>
          <w:szCs w:val="28"/>
          <w:lang w:eastAsia="zh-CN"/>
        </w:rPr>
        <w:t>三</w:t>
      </w:r>
      <w:r>
        <w:rPr>
          <w:rFonts w:hint="eastAsia" w:ascii="黑体" w:hAnsi="黑体" w:eastAsia="黑体" w:cs="黑体"/>
          <w:color w:val="000000"/>
          <w:sz w:val="28"/>
          <w:szCs w:val="28"/>
        </w:rPr>
        <w:t>次会议文件</w:t>
      </w:r>
      <w:r>
        <w:rPr>
          <w:rFonts w:hint="eastAsia" w:ascii="黑体" w:hAnsi="黑体" w:eastAsia="黑体" w:cs="黑体"/>
          <w:color w:val="000000"/>
          <w:sz w:val="28"/>
          <w:szCs w:val="28"/>
          <w:lang w:val="en-US" w:eastAsia="zh-CN"/>
        </w:rPr>
        <w:t>十五</w:t>
      </w:r>
    </w:p>
    <w:p>
      <w:pPr>
        <w:rPr>
          <w:rFonts w:hint="eastAsia" w:ascii="楷体_GB2312" w:hAnsi="仿宋" w:eastAsia="楷体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宋体" w:hAnsi="宋体" w:eastAsia="宋体" w:cs="Arial"/>
          <w:color w:val="000000"/>
          <w:sz w:val="44"/>
          <w:szCs w:val="44"/>
          <w:lang w:val="en-US" w:eastAsia="zh-CN"/>
        </w:rPr>
      </w:pPr>
      <w:r>
        <w:rPr>
          <w:rFonts w:hint="eastAsia" w:ascii="宋体" w:hAnsi="宋体" w:cs="Arial"/>
          <w:b/>
          <w:bCs/>
          <w:color w:val="000000"/>
          <w:sz w:val="44"/>
          <w:szCs w:val="44"/>
          <w:shd w:val="clear" w:color="auto" w:fill="FFFFFF"/>
          <w:lang w:val="en-US" w:eastAsia="zh-CN"/>
        </w:rPr>
        <w:t>政府工作报告</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 w:hAnsi="楷体" w:eastAsia="楷体" w:cs="楷体"/>
          <w:color w:val="000000"/>
          <w:spacing w:val="-20"/>
          <w:sz w:val="28"/>
          <w:szCs w:val="28"/>
          <w:lang w:eastAsia="zh-CN"/>
        </w:rPr>
      </w:pPr>
      <w:r>
        <w:rPr>
          <w:rFonts w:hint="eastAsia" w:ascii="楷体" w:hAnsi="楷体" w:eastAsia="楷体" w:cs="楷体"/>
          <w:color w:val="000000"/>
          <w:spacing w:val="-20"/>
          <w:sz w:val="28"/>
          <w:szCs w:val="28"/>
          <w:shd w:val="clear" w:color="auto" w:fill="FFFFFF"/>
          <w:lang w:val="en-US" w:eastAsia="zh-CN"/>
        </w:rPr>
        <w:t>——    年  月  日</w:t>
      </w:r>
      <w:r>
        <w:rPr>
          <w:rFonts w:hint="eastAsia" w:ascii="楷体" w:hAnsi="楷体" w:eastAsia="楷体" w:cs="楷体"/>
          <w:color w:val="000000"/>
          <w:spacing w:val="-20"/>
          <w:sz w:val="28"/>
          <w:szCs w:val="28"/>
          <w:shd w:val="clear" w:color="auto" w:fill="FFFFFF"/>
        </w:rPr>
        <w:t>在汤旺县第一届人民代表大会第</w:t>
      </w:r>
      <w:r>
        <w:rPr>
          <w:rFonts w:hint="eastAsia" w:ascii="楷体" w:hAnsi="楷体" w:eastAsia="楷体" w:cs="楷体"/>
          <w:color w:val="000000"/>
          <w:spacing w:val="-20"/>
          <w:sz w:val="28"/>
          <w:szCs w:val="28"/>
          <w:shd w:val="clear" w:color="auto" w:fill="FFFFFF"/>
          <w:lang w:eastAsia="zh-CN"/>
        </w:rPr>
        <w:t>三</w:t>
      </w:r>
      <w:r>
        <w:rPr>
          <w:rFonts w:hint="eastAsia" w:ascii="楷体" w:hAnsi="楷体" w:eastAsia="楷体" w:cs="楷体"/>
          <w:color w:val="000000"/>
          <w:spacing w:val="-20"/>
          <w:sz w:val="28"/>
          <w:szCs w:val="28"/>
          <w:shd w:val="clear" w:color="auto" w:fill="FFFFFF"/>
        </w:rPr>
        <w:t>次会议上</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 w:hAnsi="楷体" w:eastAsia="楷体" w:cs="楷体"/>
          <w:color w:val="000000"/>
          <w:sz w:val="28"/>
          <w:szCs w:val="28"/>
          <w:shd w:val="clear" w:color="auto" w:fill="FFFFFF"/>
          <w:lang w:val="en-US" w:eastAsia="zh-CN"/>
        </w:rPr>
      </w:pPr>
      <w:r>
        <w:rPr>
          <w:rFonts w:hint="eastAsia" w:ascii="楷体" w:hAnsi="楷体" w:eastAsia="楷体" w:cs="楷体"/>
          <w:color w:val="000000"/>
          <w:sz w:val="28"/>
          <w:szCs w:val="28"/>
          <w:lang w:val="en-US" w:eastAsia="zh-CN"/>
        </w:rPr>
        <w:t xml:space="preserve">汤旺县人民政府县长  </w:t>
      </w:r>
      <w:r>
        <w:rPr>
          <w:rFonts w:hint="eastAsia" w:ascii="楷体" w:hAnsi="楷体" w:eastAsia="楷体" w:cs="楷体"/>
          <w:color w:val="000000"/>
          <w:sz w:val="28"/>
          <w:szCs w:val="28"/>
        </w:rPr>
        <w:t xml:space="preserve"> </w:t>
      </w:r>
      <w:r>
        <w:rPr>
          <w:rFonts w:hint="eastAsia" w:ascii="楷体" w:hAnsi="楷体" w:eastAsia="楷体" w:cs="楷体"/>
          <w:color w:val="000000"/>
          <w:sz w:val="28"/>
          <w:szCs w:val="28"/>
          <w:shd w:val="clear" w:color="auto" w:fill="FFFFFF"/>
          <w:lang w:val="en-US" w:eastAsia="zh-CN"/>
        </w:rPr>
        <w:t>李东辉</w:t>
      </w:r>
    </w:p>
    <w:p>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各位代表：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现在，我代表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汤旺</w:t>
      </w:r>
      <w:r>
        <w:rPr>
          <w:rFonts w:hint="eastAsia" w:ascii="仿宋_GB2312" w:hAnsi="仿宋_GB2312" w:eastAsia="仿宋_GB2312" w:cs="仿宋_GB2312"/>
          <w:color w:val="000000" w:themeColor="text1"/>
          <w:sz w:val="32"/>
          <w:szCs w:val="32"/>
          <w14:textFill>
            <w14:solidFill>
              <w14:schemeClr w14:val="tx1"/>
            </w14:solidFill>
          </w14:textFill>
        </w:rPr>
        <w:t>县人民政府，向大会报告工作，请予审议，并请各位政协委员和其他列席同志提出意见。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一、“十三五”时期</w:t>
      </w:r>
      <w:r>
        <w:rPr>
          <w:rFonts w:hint="eastAsia" w:ascii="黑体" w:hAnsi="黑体" w:eastAsia="黑体" w:cs="黑体"/>
          <w:color w:val="000000" w:themeColor="text1"/>
          <w:sz w:val="32"/>
          <w:szCs w:val="32"/>
          <w:lang w:val="en-US" w:eastAsia="zh-CN"/>
          <w14:textFill>
            <w14:solidFill>
              <w14:schemeClr w14:val="tx1"/>
            </w14:solidFill>
          </w14:textFill>
        </w:rPr>
        <w:t>及2020年</w:t>
      </w:r>
      <w:r>
        <w:rPr>
          <w:rFonts w:hint="eastAsia" w:ascii="黑体" w:hAnsi="黑体" w:eastAsia="黑体" w:cs="黑体"/>
          <w:color w:val="000000" w:themeColor="text1"/>
          <w:sz w:val="32"/>
          <w:szCs w:val="32"/>
          <w14:textFill>
            <w14:solidFill>
              <w14:schemeClr w14:val="tx1"/>
            </w14:solidFill>
          </w14:textFill>
        </w:rPr>
        <w:t>工作回顾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时期是全面建成小康社会的决胜阶段，面对艰巨紧迫的改革任务和发展形势，我们坚持</w:t>
      </w: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在县委的坚强领导下,全面贯彻落实党的十八大、十九大和十九届二中、三中、四中、五中全会精神，</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全面贯彻落实习近平总书记在深入推进东北振兴座谈会上的重要讲话和对我省重要讲话重要指示批示精神及对伊春特指要求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紧紧依靠全县人民，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牢牢把握“生态立县、旅游强县”发展定位</w:t>
      </w:r>
      <w:r>
        <w:rPr>
          <w:rFonts w:hint="eastAsia" w:ascii="仿宋_GB2312" w:hAnsi="仿宋_GB2312" w:eastAsia="仿宋_GB2312" w:cs="仿宋_GB2312"/>
          <w:color w:val="000000" w:themeColor="text1"/>
          <w:sz w:val="32"/>
          <w:szCs w:val="32"/>
          <w14:textFill>
            <w14:solidFill>
              <w14:schemeClr w14:val="tx1"/>
            </w14:solidFill>
          </w14:textFill>
        </w:rPr>
        <w:t>，全力推进体制机制改革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，深入实施绿色高质量转型发展，较好</w:t>
      </w:r>
      <w:r>
        <w:rPr>
          <w:rFonts w:hint="eastAsia" w:ascii="仿宋_GB2312" w:hAnsi="仿宋_GB2312" w:eastAsia="仿宋_GB2312" w:cs="仿宋_GB2312"/>
          <w:color w:val="000000" w:themeColor="text1"/>
          <w:sz w:val="32"/>
          <w:szCs w:val="32"/>
          <w14:textFill>
            <w14:solidFill>
              <w14:schemeClr w14:val="tx1"/>
            </w14:solidFill>
          </w14:textFill>
        </w:rPr>
        <w:t>地完成了“十三五”规划的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主要</w:t>
      </w:r>
      <w:r>
        <w:rPr>
          <w:rFonts w:hint="eastAsia" w:ascii="仿宋_GB2312" w:hAnsi="仿宋_GB2312" w:eastAsia="仿宋_GB2312" w:cs="仿宋_GB2312"/>
          <w:color w:val="000000" w:themeColor="text1"/>
          <w:sz w:val="32"/>
          <w:szCs w:val="32"/>
          <w14:textFill>
            <w14:solidFill>
              <w14:schemeClr w14:val="tx1"/>
            </w14:solidFill>
          </w14:textFill>
        </w:rPr>
        <w:t>目标任务。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五年来，我们</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大力</w:t>
      </w:r>
      <w:r>
        <w:rPr>
          <w:rFonts w:hint="eastAsia" w:ascii="楷体_GB2312" w:hAnsi="楷体_GB2312" w:eastAsia="楷体_GB2312" w:cs="楷体_GB2312"/>
          <w:b/>
          <w:bCs/>
          <w:color w:val="000000" w:themeColor="text1"/>
          <w:sz w:val="32"/>
          <w:szCs w:val="32"/>
          <w14:textFill>
            <w14:solidFill>
              <w14:schemeClr w14:val="tx1"/>
            </w14:solidFill>
          </w14:textFill>
        </w:rPr>
        <w:t>实施生态文明建设，</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森林资源得到</w:t>
      </w:r>
      <w:r>
        <w:rPr>
          <w:rFonts w:hint="eastAsia" w:ascii="楷体_GB2312" w:hAnsi="楷体_GB2312" w:eastAsia="楷体_GB2312" w:cs="楷体_GB2312"/>
          <w:b/>
          <w:bCs/>
          <w:color w:val="000000" w:themeColor="text1"/>
          <w:sz w:val="32"/>
          <w:szCs w:val="32"/>
          <w14:textFill>
            <w14:solidFill>
              <w14:schemeClr w14:val="tx1"/>
            </w14:solidFill>
          </w14:textFill>
        </w:rPr>
        <w:t>有效</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保护</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深入践行习近平生态文明思想，认真</w:t>
      </w:r>
      <w:r>
        <w:rPr>
          <w:rFonts w:hint="eastAsia" w:ascii="仿宋_GB2312" w:hAnsi="仿宋_GB2312" w:eastAsia="仿宋_GB2312" w:cs="仿宋_GB2312"/>
          <w:b w:val="0"/>
          <w:bCs w:val="0"/>
          <w:color w:val="000000" w:themeColor="text1"/>
          <w:sz w:val="32"/>
          <w:szCs w:val="32"/>
          <w14:textFill>
            <w14:solidFill>
              <w14:schemeClr w14:val="tx1"/>
            </w14:solidFill>
          </w14:textFill>
        </w:rPr>
        <w:t>实施天保二期工程，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林木蓄积总量由4115万立方米增加到4613万立方米，森林覆盖率达到85.1%，生态文明制度体系基本建立，</w:t>
      </w:r>
      <w:r>
        <w:rPr>
          <w:rFonts w:hint="eastAsia" w:ascii="仿宋_GB2312" w:hAnsi="仿宋_GB2312" w:eastAsia="仿宋_GB2312" w:cs="仿宋_GB2312"/>
          <w:color w:val="000000" w:themeColor="text1"/>
          <w:sz w:val="32"/>
          <w:szCs w:val="32"/>
          <w14:textFill>
            <w14:solidFill>
              <w14:schemeClr w14:val="tx1"/>
            </w14:solidFill>
          </w14:textFill>
        </w:rPr>
        <w:t>生态系统得到全面休养生息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生态县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功能作用进一步凸显。森防瞭望员胥鲁新同志被表彰为全国劳动模范。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五年来，我们全力推进绿色经济转型，优势特色产业</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蓬勃</w:t>
      </w:r>
      <w:r>
        <w:rPr>
          <w:rFonts w:hint="eastAsia" w:ascii="楷体_GB2312" w:hAnsi="楷体_GB2312" w:eastAsia="楷体_GB2312" w:cs="楷体_GB2312"/>
          <w:b/>
          <w:bCs/>
          <w:color w:val="000000" w:themeColor="text1"/>
          <w:sz w:val="32"/>
          <w:szCs w:val="32"/>
          <w14:textFill>
            <w14:solidFill>
              <w14:schemeClr w14:val="tx1"/>
            </w14:solidFill>
          </w14:textFill>
        </w:rPr>
        <w:t>发展。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坚持把生态旅游产业作为转型发展的支柱产业，圆满完成第二届全省旅发大会观摩任务，</w:t>
      </w:r>
      <w:r>
        <w:rPr>
          <w:rFonts w:hint="eastAsia" w:ascii="仿宋_GB2312" w:hAnsi="仿宋_GB2312" w:eastAsia="仿宋_GB2312" w:cs="仿宋_GB2312"/>
          <w:color w:val="000000" w:themeColor="text1"/>
          <w:sz w:val="32"/>
          <w:szCs w:val="32"/>
          <w14:textFill>
            <w14:solidFill>
              <w14:schemeClr w14:val="tx1"/>
            </w14:solidFill>
          </w14:textFill>
        </w:rPr>
        <w:t>“中国森林氧吧”“中国北红玛瑙之乡”“林海奇石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景区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等旅游名片的影响力大幅提升，位列黑龙江旅游前十强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森林食品北药产业发展壮大，产业链条进一步延伸。</w:t>
      </w:r>
      <w:r>
        <w:rPr>
          <w:rFonts w:hint="eastAsia" w:ascii="仿宋_GB2312" w:hAnsi="仿宋_GB2312" w:eastAsia="仿宋_GB2312" w:cs="仿宋_GB2312"/>
          <w:color w:val="000000" w:themeColor="text1"/>
          <w:sz w:val="32"/>
          <w:szCs w:val="32"/>
          <w14:textFill>
            <w14:solidFill>
              <w14:schemeClr w14:val="tx1"/>
            </w14:solidFill>
          </w14:textFill>
        </w:rPr>
        <w:t>北红文化底蕴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不断增强</w:t>
      </w:r>
      <w:r>
        <w:rPr>
          <w:rFonts w:hint="eastAsia" w:ascii="仿宋_GB2312" w:hAnsi="仿宋_GB2312" w:eastAsia="仿宋_GB2312" w:cs="仿宋_GB2312"/>
          <w:color w:val="000000" w:themeColor="text1"/>
          <w:sz w:val="32"/>
          <w:szCs w:val="32"/>
          <w14:textFill>
            <w14:solidFill>
              <w14:schemeClr w14:val="tx1"/>
            </w14:solidFill>
          </w14:textFill>
        </w:rPr>
        <w:t>，高端消费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实现</w:t>
      </w:r>
      <w:r>
        <w:rPr>
          <w:rFonts w:hint="eastAsia" w:ascii="仿宋_GB2312" w:hAnsi="仿宋_GB2312" w:eastAsia="仿宋_GB2312" w:cs="仿宋_GB2312"/>
          <w:color w:val="000000" w:themeColor="text1"/>
          <w:sz w:val="32"/>
          <w:szCs w:val="32"/>
          <w14:textFill>
            <w14:solidFill>
              <w14:schemeClr w14:val="tx1"/>
            </w14:solidFill>
          </w14:textFill>
        </w:rPr>
        <w:t>持续增长。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五年来，我们不断加大改革力度，“三大改革”取得重大突破。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行政区划调整顺利推进，汤旺县人民政府正式成立，森工企业职能全部剥离，彻底结束了存在60余年的“政企合一”体制。全面完成党政机构改革，新设的县、镇两级机构顺利运转，县属党政机构精简</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40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%。稳妥推进事业单位机构改革，各领域改革全面深化。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五年来，我们</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大力</w:t>
      </w:r>
      <w:r>
        <w:rPr>
          <w:rFonts w:hint="eastAsia" w:ascii="楷体_GB2312" w:hAnsi="楷体_GB2312" w:eastAsia="楷体_GB2312" w:cs="楷体_GB2312"/>
          <w:b/>
          <w:bCs/>
          <w:color w:val="000000" w:themeColor="text1"/>
          <w:sz w:val="32"/>
          <w:szCs w:val="32"/>
          <w14:textFill>
            <w14:solidFill>
              <w14:schemeClr w14:val="tx1"/>
            </w14:solidFill>
          </w14:textFill>
        </w:rPr>
        <w:t>完善基础设施，</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新型城镇化建设成效显著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实施棚户区改造59500平方米，小区配套设施逐步完善。建设城区道路10.8公里，完成城镇绿化</w:t>
      </w:r>
      <w:r>
        <w:rPr>
          <w:rFonts w:hint="eastAsia" w:ascii="仿宋_GB2312" w:hAnsi="仿宋_GB2312" w:eastAsia="仿宋_GB2312" w:cs="仿宋_GB2312"/>
          <w:color w:val="000000" w:themeColor="text1"/>
          <w:sz w:val="32"/>
          <w:szCs w:val="32"/>
          <w14:textFill>
            <w14:solidFill>
              <w14:schemeClr w14:val="tx1"/>
            </w14:solidFill>
          </w14:textFill>
        </w:rPr>
        <w:t>54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97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万平方米。城区供热、供水覆盖率分别达到95%和100%。</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新建垃圾处理厂1座。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城镇服务和管理水平全面提升，人居环境明显改善。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五年来，我们坚持保障</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和</w:t>
      </w:r>
      <w:r>
        <w:rPr>
          <w:rFonts w:hint="eastAsia" w:ascii="楷体_GB2312" w:hAnsi="楷体_GB2312" w:eastAsia="楷体_GB2312" w:cs="楷体_GB2312"/>
          <w:b/>
          <w:bCs/>
          <w:color w:val="000000" w:themeColor="text1"/>
          <w:sz w:val="32"/>
          <w:szCs w:val="32"/>
          <w14:textFill>
            <w14:solidFill>
              <w14:schemeClr w14:val="tx1"/>
            </w14:solidFill>
          </w14:textFill>
        </w:rPr>
        <w:t>改善民生，发展成果惠及全县</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人民</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脱贫攻坚胜利完成，建档立卡贫困户19户31人全部脱贫。城乡居民收入稳步提高，“全民参保”实现法定人员全覆盖。就业形势持续稳定，</w:t>
      </w:r>
      <w:r>
        <w:rPr>
          <w:rFonts w:hint="eastAsia" w:ascii="仿宋_GB2312" w:hAnsi="仿宋_GB2312" w:eastAsia="仿宋_GB2312" w:cs="仿宋_GB2312"/>
          <w:color w:val="000000" w:themeColor="text1"/>
          <w:sz w:val="32"/>
          <w:szCs w:val="32"/>
          <w14:textFill>
            <w14:solidFill>
              <w14:schemeClr w14:val="tx1"/>
            </w14:solidFill>
          </w14:textFill>
        </w:rPr>
        <w:t>累计新增就业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6403</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最低生活保障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实现</w:t>
      </w:r>
      <w:r>
        <w:rPr>
          <w:rFonts w:hint="eastAsia" w:ascii="仿宋_GB2312" w:hAnsi="仿宋_GB2312" w:eastAsia="仿宋_GB2312" w:cs="仿宋_GB2312"/>
          <w:color w:val="000000" w:themeColor="text1"/>
          <w:sz w:val="32"/>
          <w:szCs w:val="32"/>
          <w14:textFill>
            <w14:solidFill>
              <w14:schemeClr w14:val="tx1"/>
            </w14:solidFill>
          </w14:textFill>
        </w:rPr>
        <w:t>应保尽保，分配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公共租赁</w:t>
      </w:r>
      <w:r>
        <w:rPr>
          <w:rFonts w:hint="eastAsia" w:ascii="仿宋_GB2312" w:hAnsi="仿宋_GB2312" w:eastAsia="仿宋_GB2312" w:cs="仿宋_GB2312"/>
          <w:color w:val="000000" w:themeColor="text1"/>
          <w:sz w:val="32"/>
          <w:szCs w:val="32"/>
          <w14:textFill>
            <w14:solidFill>
              <w14:schemeClr w14:val="tx1"/>
            </w14:solidFill>
          </w14:textFill>
        </w:rPr>
        <w:t>住房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467</w:t>
      </w:r>
      <w:r>
        <w:rPr>
          <w:rFonts w:hint="eastAsia" w:ascii="仿宋_GB2312" w:hAnsi="仿宋_GB2312" w:eastAsia="仿宋_GB2312" w:cs="仿宋_GB2312"/>
          <w:color w:val="000000" w:themeColor="text1"/>
          <w:sz w:val="32"/>
          <w:szCs w:val="32"/>
          <w14:textFill>
            <w14:solidFill>
              <w14:schemeClr w14:val="tx1"/>
            </w14:solidFill>
          </w14:textFill>
        </w:rPr>
        <w:t>套。教育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文化卫生等</w:t>
      </w:r>
      <w:r>
        <w:rPr>
          <w:rFonts w:hint="eastAsia" w:ascii="仿宋_GB2312" w:hAnsi="仿宋_GB2312" w:eastAsia="仿宋_GB2312" w:cs="仿宋_GB2312"/>
          <w:color w:val="000000" w:themeColor="text1"/>
          <w:sz w:val="32"/>
          <w:szCs w:val="32"/>
          <w14:textFill>
            <w14:solidFill>
              <w14:schemeClr w14:val="tx1"/>
            </w14:solidFill>
          </w14:textFill>
        </w:rPr>
        <w:t>基础设施更加完善，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基本公共服务均等化不断推进。深入开展扫黑除恶斗争，</w:t>
      </w:r>
      <w:r>
        <w:rPr>
          <w:rFonts w:hint="eastAsia" w:ascii="仿宋_GB2312" w:hAnsi="仿宋_GB2312" w:eastAsia="仿宋_GB2312" w:cs="仿宋_GB2312"/>
          <w:color w:val="000000" w:themeColor="text1"/>
          <w:sz w:val="32"/>
          <w:szCs w:val="32"/>
          <w14:textFill>
            <w14:solidFill>
              <w14:schemeClr w14:val="tx1"/>
            </w14:solidFill>
          </w14:textFill>
        </w:rPr>
        <w:t>平安汤旺建设不断加强，社会持续和谐稳定。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五年来，我们不断加强和改进作风，政府行政效能持续提升。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扎实开展“两学一做”学习教育和“不忘初心，牢记使命”主题教育，深化机关作风整顿优化营商环境，驰而不息治理“四风”问题。深入推进“放管服”改革，推动实现“办事不求人”，一体化在线服务平台不断完善，县本级事项进驻服务大厅</w:t>
      </w:r>
      <w:r>
        <w:rPr>
          <w:rFonts w:hint="eastAsia" w:ascii="仿宋_GB2312" w:hAnsi="仿宋_GB2312" w:eastAsia="仿宋_GB2312" w:cs="仿宋_GB2312"/>
          <w:color w:val="000000" w:themeColor="text1"/>
          <w:sz w:val="32"/>
          <w:szCs w:val="32"/>
          <w14:textFill>
            <w14:solidFill>
              <w14:schemeClr w14:val="tx1"/>
            </w14:solidFill>
          </w14:textFill>
        </w:rPr>
        <w:t>246项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，基本实现“一网通办”“应进必进”，行风政风持续好转</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各位代表！</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刚刚过去的</w:t>
      </w:r>
      <w:r>
        <w:rPr>
          <w:rFonts w:hint="eastAsia" w:ascii="仿宋_GB2312" w:hAnsi="仿宋_GB2312" w:eastAsia="仿宋_GB2312" w:cs="仿宋_GB2312"/>
          <w:color w:val="000000" w:themeColor="text1"/>
          <w:sz w:val="32"/>
          <w:szCs w:val="32"/>
          <w14:textFill>
            <w14:solidFill>
              <w14:schemeClr w14:val="tx1"/>
            </w14:solidFill>
          </w14:textFill>
        </w:rPr>
        <w:t>2020年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是极不平凡的一年</w:t>
      </w:r>
      <w:r>
        <w:rPr>
          <w:rFonts w:hint="eastAsia" w:ascii="仿宋_GB2312" w:hAnsi="仿宋_GB2312" w:eastAsia="仿宋_GB2312" w:cs="仿宋_GB2312"/>
          <w:color w:val="000000" w:themeColor="text1"/>
          <w:sz w:val="32"/>
          <w:szCs w:val="32"/>
          <w14:textFill>
            <w14:solidFill>
              <w14:schemeClr w14:val="tx1"/>
            </w14:solidFill>
          </w14:textFill>
        </w:rPr>
        <w:t>，突如其来的新冠肺炎疫情，对全县经济社会发展和人民生产生活秩序造成了巨大冲击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面对巨大的压力和挑战，我们统筹推进常态化疫情防控和经济社会发展，</w:t>
      </w:r>
      <w:r>
        <w:rPr>
          <w:rFonts w:hint="eastAsia" w:ascii="仿宋_GB2312" w:hAnsi="仿宋_GB2312" w:eastAsia="仿宋_GB2312" w:cs="仿宋_GB2312"/>
          <w:color w:val="000000" w:themeColor="text1"/>
          <w:sz w:val="32"/>
          <w:szCs w:val="32"/>
          <w14:textFill>
            <w14:solidFill>
              <w14:schemeClr w14:val="tx1"/>
            </w14:solidFill>
          </w14:textFill>
        </w:rPr>
        <w:t>扎实做好“六稳”工作，全面落实“六保”任务，全县经济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社会逐步</w:t>
      </w:r>
      <w:r>
        <w:rPr>
          <w:rFonts w:hint="eastAsia" w:ascii="仿宋_GB2312" w:hAnsi="仿宋_GB2312" w:eastAsia="仿宋_GB2312" w:cs="仿宋_GB2312"/>
          <w:color w:val="000000" w:themeColor="text1"/>
          <w:sz w:val="32"/>
          <w:szCs w:val="32"/>
          <w14:textFill>
            <w14:solidFill>
              <w14:schemeClr w14:val="tx1"/>
            </w14:solidFill>
          </w14:textFill>
        </w:rPr>
        <w:t>恢复了生机和活力。</w:t>
      </w:r>
      <w:r>
        <w:rPr>
          <w:rFonts w:hint="eastAsia" w:ascii="仿宋_GB2312" w:hAnsi="黑体" w:eastAsia="仿宋_GB2312"/>
          <w:color w:val="000000" w:themeColor="text1"/>
          <w:sz w:val="32"/>
          <w:szCs w:val="32"/>
          <w:lang w:eastAsia="zh-CN"/>
          <w14:textFill>
            <w14:solidFill>
              <w14:schemeClr w14:val="tx1"/>
            </w14:solidFill>
          </w14:textFill>
        </w:rPr>
        <w:t>全县地区生产总值增长</w:t>
      </w:r>
      <w:r>
        <w:rPr>
          <w:rFonts w:hint="eastAsia" w:ascii="仿宋_GB2312" w:hAnsi="黑体" w:eastAsia="仿宋_GB2312"/>
          <w:color w:val="000000" w:themeColor="text1"/>
          <w:sz w:val="32"/>
          <w:szCs w:val="32"/>
          <w:lang w:val="en-US" w:eastAsia="zh-CN"/>
          <w14:textFill>
            <w14:solidFill>
              <w14:schemeClr w14:val="tx1"/>
            </w14:solidFill>
          </w14:textFill>
        </w:rPr>
        <w:t>4.9</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位列全市第一</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规上工业增加值增长0.5%，固定资产投资下降46.7%，</w:t>
      </w:r>
      <w:r>
        <w:rPr>
          <w:rFonts w:hint="eastAsia" w:ascii="仿宋_GB2312" w:hAnsi="黑体" w:eastAsia="仿宋_GB2312"/>
          <w:color w:val="000000" w:themeColor="text1"/>
          <w:sz w:val="32"/>
          <w:szCs w:val="32"/>
          <w:lang w:eastAsia="zh-CN"/>
          <w14:textFill>
            <w14:solidFill>
              <w14:schemeClr w14:val="tx1"/>
            </w14:solidFill>
          </w14:textFill>
        </w:rPr>
        <w:t>社会消费品零售总额下降</w:t>
      </w:r>
      <w:r>
        <w:rPr>
          <w:rFonts w:hint="eastAsia" w:ascii="仿宋_GB2312" w:hAnsi="黑体" w:eastAsia="仿宋_GB2312"/>
          <w:color w:val="000000" w:themeColor="text1"/>
          <w:sz w:val="32"/>
          <w:szCs w:val="32"/>
          <w:lang w:val="en-US" w:eastAsia="zh-CN"/>
          <w14:textFill>
            <w14:solidFill>
              <w14:schemeClr w14:val="tx1"/>
            </w14:solidFill>
          </w14:textFill>
        </w:rPr>
        <w:t>3.5</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一般公共财政预算收入下降54.3%。</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疫情防控阻击战取得阶段性成果。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认真落实“坚定信心、同舟共济、科学防治、精准施策”总要求，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始终</w:t>
      </w:r>
      <w:r>
        <w:rPr>
          <w:rFonts w:hint="eastAsia" w:ascii="仿宋_GB2312" w:hAnsi="仿宋_GB2312" w:eastAsia="仿宋_GB2312" w:cs="仿宋_GB2312"/>
          <w:color w:val="000000" w:themeColor="text1"/>
          <w:sz w:val="32"/>
          <w:szCs w:val="32"/>
          <w14:textFill>
            <w14:solidFill>
              <w14:schemeClr w14:val="tx1"/>
            </w14:solidFill>
          </w14:textFill>
        </w:rPr>
        <w:t>把全县人民的生命安全和身体健康放在第一位，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全县2035名干部职工奋战在抗疫一线，精准及时落实各项管控措施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实行“大数据+网格化”工作机制，对中高风险地区和境外进入人</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员实施“闭环管理”，先后设立了3处集中隔离点，集中隔离1118人、居家隔离942人。强化疫情防控能力建设，投入资金817万元，改造发热门诊2个，购置负压救护车1台；按标准</w:t>
      </w:r>
      <w:r>
        <w:rPr>
          <w:rFonts w:hint="eastAsia" w:ascii="仿宋_GB2312" w:hAnsi="仿宋_GB2312" w:eastAsia="仿宋_GB2312" w:cs="仿宋_GB2312"/>
          <w:color w:val="000000" w:themeColor="text1"/>
          <w:sz w:val="32"/>
          <w:szCs w:val="32"/>
          <w:u w:val="none"/>
          <w14:textFill>
            <w14:solidFill>
              <w14:schemeClr w14:val="tx1"/>
            </w14:solidFill>
          </w14:textFill>
        </w:rPr>
        <w:t>建设核酸检测实验室</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2个</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累计核酸检测29812人次；</w:t>
      </w:r>
      <w:r>
        <w:rPr>
          <w:rFonts w:hint="eastAsia" w:ascii="仿宋_GB2312" w:hAnsi="仿宋_GB2312" w:eastAsia="仿宋_GB2312" w:cs="仿宋_GB2312"/>
          <w:color w:val="000000" w:themeColor="text1"/>
          <w:sz w:val="32"/>
          <w:szCs w:val="32"/>
          <w:u w:val="none"/>
          <w14:textFill>
            <w14:solidFill>
              <w14:schemeClr w14:val="tx1"/>
            </w14:solidFill>
          </w14:textFill>
        </w:rPr>
        <w:t>防疫</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u w:val="none"/>
          <w14:textFill>
            <w14:solidFill>
              <w14:schemeClr w14:val="tx1"/>
            </w14:solidFill>
          </w14:textFill>
        </w:rPr>
        <w:t>生活物资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准备充足，</w:t>
      </w:r>
      <w:r>
        <w:rPr>
          <w:rFonts w:hint="eastAsia" w:ascii="仿宋_GB2312" w:hAnsi="仿宋_GB2312" w:eastAsia="仿宋_GB2312" w:cs="仿宋_GB2312"/>
          <w:color w:val="000000" w:themeColor="text1"/>
          <w:sz w:val="32"/>
          <w:szCs w:val="32"/>
          <w14:textFill>
            <w14:solidFill>
              <w14:schemeClr w14:val="tx1"/>
            </w14:solidFill>
          </w14:textFill>
        </w:rPr>
        <w:t>物价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水平</w:t>
      </w:r>
      <w:r>
        <w:rPr>
          <w:rFonts w:hint="eastAsia" w:ascii="仿宋_GB2312" w:hAnsi="仿宋_GB2312" w:eastAsia="仿宋_GB2312" w:cs="仿宋_GB2312"/>
          <w:color w:val="000000" w:themeColor="text1"/>
          <w:sz w:val="32"/>
          <w:szCs w:val="32"/>
          <w14:textFill>
            <w14:solidFill>
              <w14:schemeClr w14:val="tx1"/>
            </w14:solidFill>
          </w14:textFill>
        </w:rPr>
        <w:t>总体平稳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全县无确诊病例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和无症状感染者，</w:t>
      </w:r>
      <w:r>
        <w:rPr>
          <w:rFonts w:hint="eastAsia" w:ascii="仿宋_GB2312" w:hAnsi="仿宋_GB2312" w:eastAsia="仿宋_GB2312" w:cs="仿宋_GB2312"/>
          <w:color w:val="000000" w:themeColor="text1"/>
          <w:sz w:val="32"/>
          <w:szCs w:val="32"/>
          <w14:textFill>
            <w14:solidFill>
              <w14:schemeClr w14:val="tx1"/>
            </w14:solidFill>
          </w14:textFill>
        </w:rPr>
        <w:t>医护人员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零</w:t>
      </w:r>
      <w:r>
        <w:rPr>
          <w:rFonts w:hint="eastAsia" w:ascii="仿宋_GB2312" w:hAnsi="仿宋_GB2312" w:eastAsia="仿宋_GB2312" w:cs="仿宋_GB2312"/>
          <w:color w:val="000000" w:themeColor="text1"/>
          <w:sz w:val="32"/>
          <w:szCs w:val="32"/>
          <w14:textFill>
            <w14:solidFill>
              <w14:schemeClr w14:val="tx1"/>
            </w14:solidFill>
          </w14:textFill>
        </w:rPr>
        <w:t>感染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获得了市委、市政府的肯定。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县域经济呈现恢复性增长</w:t>
      </w:r>
      <w:r>
        <w:rPr>
          <w:rFonts w:hint="eastAsia" w:ascii="楷体_GB2312" w:hAnsi="楷体_GB2312" w:eastAsia="楷体_GB2312" w:cs="楷体_GB2312"/>
          <w:b/>
          <w:bCs/>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u w:val="none"/>
          <w14:textFill>
            <w14:solidFill>
              <w14:schemeClr w14:val="tx1"/>
            </w14:solidFill>
          </w14:textFill>
        </w:rPr>
        <w:t>全面落实</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抗疫</w:t>
      </w:r>
      <w:r>
        <w:rPr>
          <w:rFonts w:hint="eastAsia" w:ascii="仿宋_GB2312" w:hAnsi="仿宋_GB2312" w:eastAsia="仿宋_GB2312" w:cs="仿宋_GB2312"/>
          <w:b/>
          <w:bCs/>
          <w:color w:val="000000" w:themeColor="text1"/>
          <w:sz w:val="32"/>
          <w:szCs w:val="32"/>
          <w:u w:val="none"/>
          <w14:textFill>
            <w14:solidFill>
              <w14:schemeClr w14:val="tx1"/>
            </w14:solidFill>
          </w14:textFill>
        </w:rPr>
        <w:t>援企稳岗政策</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为企业减免养老保险4862万元、失业保险146万元，减免增值税542万元。申请失业稳岗补贴325万元，购买社会岗位安置190人。积极开展政银企对接，帮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助企业争取贷款2275万元，为企业增加授信1000万元。</w:t>
      </w:r>
      <w:r>
        <w:rPr>
          <w:rFonts w:hint="eastAsia" w:ascii="仿宋_GB2312" w:hAnsi="仿宋_GB2312" w:eastAsia="仿宋_GB2312" w:cs="仿宋_GB2312"/>
          <w:b/>
          <w:bCs/>
          <w:color w:val="000000" w:themeColor="text1"/>
          <w:sz w:val="32"/>
          <w:szCs w:val="32"/>
          <w14:textFill>
            <w14:solidFill>
              <w14:schemeClr w14:val="tx1"/>
            </w14:solidFill>
          </w14:textFill>
        </w:rPr>
        <w:t>旅游产业</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率先</w:t>
      </w:r>
      <w:r>
        <w:rPr>
          <w:rFonts w:hint="eastAsia" w:ascii="仿宋_GB2312" w:hAnsi="仿宋_GB2312" w:eastAsia="仿宋_GB2312" w:cs="仿宋_GB2312"/>
          <w:b/>
          <w:bCs/>
          <w:color w:val="000000" w:themeColor="text1"/>
          <w:sz w:val="32"/>
          <w:szCs w:val="32"/>
          <w14:textFill>
            <w14:solidFill>
              <w14:schemeClr w14:val="tx1"/>
            </w14:solidFill>
          </w14:textFill>
        </w:rPr>
        <w:t>复苏</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在全市第一批重启旅游业，</w:t>
      </w:r>
      <w:r>
        <w:rPr>
          <w:rFonts w:hint="eastAsia" w:ascii="仿宋_GB2312" w:hAnsi="仿宋_GB2312" w:eastAsia="仿宋_GB2312" w:cs="仿宋_GB2312"/>
          <w:color w:val="000000" w:themeColor="text1"/>
          <w:sz w:val="32"/>
          <w:szCs w:val="32"/>
          <w14:textFill>
            <w14:solidFill>
              <w14:schemeClr w14:val="tx1"/>
            </w14:solidFill>
          </w14:textFill>
        </w:rPr>
        <w:t>积极有序开放客源限制，推出旅游通票、门票折扣、消费券抵扣等优惠政策，主打室外健康休闲概念，景区吸引力进一步提升，旅游相关行业度过难关。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顺利举办第四届林海奇石冰雪系列活动，成功创建</w:t>
      </w:r>
      <w:r>
        <w:rPr>
          <w:rFonts w:hint="eastAsia" w:ascii="仿宋_GB2312" w:hAnsi="仿宋_GB2312" w:eastAsia="仿宋_GB2312" w:cs="仿宋_GB2312"/>
          <w:color w:val="000000" w:themeColor="text1"/>
          <w:sz w:val="32"/>
          <w:szCs w:val="32"/>
          <w14:textFill>
            <w14:solidFill>
              <w14:schemeClr w14:val="tx1"/>
            </w14:solidFill>
          </w14:textFill>
        </w:rPr>
        <w:t>“中国天然氧吧”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特色农业平稳发展</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落实播种面积107750亩，粮食产量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达到11200</w:t>
      </w:r>
      <w:r>
        <w:rPr>
          <w:rFonts w:hint="eastAsia" w:ascii="仿宋_GB2312" w:hAnsi="仿宋_GB2312" w:eastAsia="仿宋_GB2312" w:cs="仿宋_GB2312"/>
          <w:color w:val="000000" w:themeColor="text1"/>
          <w:sz w:val="32"/>
          <w:szCs w:val="32"/>
          <w14:textFill>
            <w14:solidFill>
              <w14:schemeClr w14:val="tx1"/>
            </w14:solidFill>
          </w14:textFill>
        </w:rPr>
        <w:t>吨，同比增长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发放种植者补贴2509万元。</w:t>
      </w:r>
      <w:r>
        <w:rPr>
          <w:rFonts w:hint="eastAsia" w:ascii="仿宋_GB2312" w:hAnsi="仿宋_GB2312" w:eastAsia="仿宋_GB2312" w:cs="仿宋_GB2312"/>
          <w:b/>
          <w:bCs/>
          <w:color w:val="000000" w:themeColor="text1"/>
          <w:sz w:val="32"/>
          <w:szCs w:val="32"/>
          <w14:textFill>
            <w14:solidFill>
              <w14:schemeClr w14:val="tx1"/>
            </w14:solidFill>
          </w14:textFill>
        </w:rPr>
        <w:t>森林食品北药产业</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不断壮大，</w:t>
      </w:r>
      <w:r>
        <w:rPr>
          <w:rFonts w:hint="eastAsia" w:ascii="仿宋_GB2312" w:hAnsi="仿宋_GB2312" w:eastAsia="仿宋_GB2312" w:cs="仿宋_GB2312"/>
          <w:color w:val="000000" w:themeColor="text1"/>
          <w:sz w:val="32"/>
          <w:szCs w:val="32"/>
          <w14:textFill>
            <w14:solidFill>
              <w14:schemeClr w14:val="tx1"/>
            </w14:solidFill>
          </w14:textFill>
        </w:rPr>
        <w:t>黑木耳等食用菌种植规模达到5650万袋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养蜂12600箱。为紫辰宣、今生康健等北药种植企业发展提供服务支持，新增林下北药规模化种植基地18000亩，北药种苗繁育基地232亩，示范展示基地400亩，完善北药加工基地厂房设施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全县药材种植面积达到12.8万亩。成功申报“省级中医药特色小镇”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北红产业再创佳绩，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w:t>
      </w:r>
      <w:r>
        <w:rPr>
          <w:rFonts w:hint="eastAsia" w:ascii="仿宋_GB2312" w:hAnsi="仿宋_GB2312" w:eastAsia="仿宋_GB2312" w:cs="仿宋_GB2312"/>
          <w:color w:val="000000" w:themeColor="text1"/>
          <w:sz w:val="32"/>
          <w:szCs w:val="32"/>
          <w:lang w:eastAsia="zh-CN"/>
          <w14:textFill>
            <w14:solidFill>
              <w14:schemeClr w14:val="tx1"/>
            </w14:solidFill>
          </w14:textFill>
        </w:rPr>
        <w:t>新时代的中国玉雕—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北红推介会和2020第十四届中国神工奖、第十二届上海玉龙奖评选中，获得金、银、铜奖12项。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产业项目建设进展顺利，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全力推进11个市级重点项目建设，完成投资3.19亿元；加大对上争取力度，争取上级资金6053万元。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三大攻坚战</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目标任务顺利完成。</w:t>
      </w:r>
      <w:r>
        <w:rPr>
          <w:rFonts w:hint="eastAsia" w:ascii="仿宋_GB2312" w:hAnsi="仿宋_GB2312" w:eastAsia="仿宋_GB2312" w:cs="仿宋_GB2312"/>
          <w:b/>
          <w:bCs/>
          <w:color w:val="000000" w:themeColor="text1"/>
          <w:sz w:val="32"/>
          <w:szCs w:val="32"/>
          <w14:textFill>
            <w14:solidFill>
              <w14:schemeClr w14:val="tx1"/>
            </w14:solidFill>
          </w14:textFill>
        </w:rPr>
        <w:t>脱贫攻坚成果持续巩固，</w:t>
      </w:r>
      <w:r>
        <w:rPr>
          <w:rFonts w:hint="eastAsia" w:ascii="仿宋_GB2312" w:hAnsi="仿宋_GB2312" w:eastAsia="仿宋_GB2312" w:cs="仿宋_GB2312"/>
          <w:color w:val="000000" w:themeColor="text1"/>
          <w:sz w:val="32"/>
          <w:szCs w:val="32"/>
          <w14:textFill>
            <w14:solidFill>
              <w14:schemeClr w14:val="tx1"/>
            </w14:solidFill>
          </w14:textFill>
        </w:rPr>
        <w:t>扎实推进精准扶贫，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立足优势特色产业，推广</w:t>
      </w:r>
      <w:r>
        <w:rPr>
          <w:rFonts w:hint="eastAsia" w:ascii="仿宋_GB2312" w:hAnsi="仿宋_GB2312" w:eastAsia="仿宋_GB2312" w:cs="仿宋_GB2312"/>
          <w:color w:val="000000" w:themeColor="text1"/>
          <w:sz w:val="32"/>
          <w:szCs w:val="32"/>
          <w14:textFill>
            <w14:solidFill>
              <w14:schemeClr w14:val="tx1"/>
            </w14:solidFill>
          </w14:textFill>
        </w:rPr>
        <w:t>合作社带动、企业牵动帮扶模式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扶贫大棚等帮扶措施有效落实，</w:t>
      </w:r>
      <w:r>
        <w:rPr>
          <w:rFonts w:hint="eastAsia" w:ascii="仿宋_GB2312" w:hAnsi="仿宋_GB2312" w:eastAsia="仿宋_GB2312" w:cs="仿宋_GB2312"/>
          <w:color w:val="000000" w:themeColor="text1"/>
          <w:sz w:val="32"/>
          <w:szCs w:val="32"/>
          <w14:textFill>
            <w14:solidFill>
              <w14:schemeClr w14:val="tx1"/>
            </w14:solidFill>
          </w14:textFill>
        </w:rPr>
        <w:t>困难群体增收渠道进一步拓展。</w:t>
      </w:r>
      <w:r>
        <w:rPr>
          <w:rFonts w:hint="eastAsia" w:ascii="仿宋_GB2312" w:hAnsi="仿宋_GB2312" w:eastAsia="仿宋_GB2312" w:cs="仿宋_GB2312"/>
          <w:b/>
          <w:bCs/>
          <w:color w:val="000000" w:themeColor="text1"/>
          <w:sz w:val="32"/>
          <w:szCs w:val="32"/>
          <w14:textFill>
            <w14:solidFill>
              <w14:schemeClr w14:val="tx1"/>
            </w14:solidFill>
          </w14:textFill>
        </w:rPr>
        <w:t>污染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源</w:t>
      </w:r>
      <w:r>
        <w:rPr>
          <w:rFonts w:hint="eastAsia" w:ascii="仿宋_GB2312" w:hAnsi="仿宋_GB2312" w:eastAsia="仿宋_GB2312" w:cs="仿宋_GB2312"/>
          <w:b/>
          <w:bCs/>
          <w:color w:val="000000" w:themeColor="text1"/>
          <w:sz w:val="32"/>
          <w:szCs w:val="32"/>
          <w14:textFill>
            <w14:solidFill>
              <w14:schemeClr w14:val="tx1"/>
            </w14:solidFill>
          </w14:textFill>
        </w:rPr>
        <w:t>防治</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效果明显，</w:t>
      </w:r>
      <w:r>
        <w:rPr>
          <w:rFonts w:hint="eastAsia" w:ascii="仿宋_GB2312" w:hAnsi="仿宋_GB2312" w:eastAsia="仿宋_GB2312" w:cs="仿宋_GB2312"/>
          <w:color w:val="000000" w:themeColor="text1"/>
          <w:sz w:val="32"/>
          <w:szCs w:val="32"/>
          <w14:textFill>
            <w14:solidFill>
              <w14:schemeClr w14:val="tx1"/>
            </w14:solidFill>
          </w14:textFill>
        </w:rPr>
        <w:t>开展河湖“清四乱”专项行动，河流划界编制规划工作有序推进。坚决禁止露天焚烧秸秆，秸秆综合利用率达到98%。淘汰建成区10蒸吨及以下燃煤锅炉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3台</w:t>
      </w:r>
      <w:r>
        <w:rPr>
          <w:rFonts w:hint="eastAsia" w:ascii="仿宋_GB2312" w:hAnsi="仿宋_GB2312" w:eastAsia="仿宋_GB2312" w:cs="仿宋_GB2312"/>
          <w:color w:val="000000" w:themeColor="text1"/>
          <w:sz w:val="32"/>
          <w:szCs w:val="32"/>
          <w14:textFill>
            <w14:solidFill>
              <w14:schemeClr w14:val="tx1"/>
            </w14:solidFill>
          </w14:textFill>
        </w:rPr>
        <w:t>，20蒸吨及以上锅炉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实现</w:t>
      </w:r>
      <w:r>
        <w:rPr>
          <w:rFonts w:hint="eastAsia" w:ascii="仿宋_GB2312" w:hAnsi="仿宋_GB2312" w:eastAsia="仿宋_GB2312" w:cs="仿宋_GB2312"/>
          <w:color w:val="000000" w:themeColor="text1"/>
          <w:sz w:val="32"/>
          <w:szCs w:val="32"/>
          <w14:textFill>
            <w14:solidFill>
              <w14:schemeClr w14:val="tx1"/>
            </w14:solidFill>
          </w14:textFill>
        </w:rPr>
        <w:t>达标排放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城市空气质量优良天数达到98%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投入资金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393</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w:t>
      </w:r>
      <w:r>
        <w:rPr>
          <w:rFonts w:hint="eastAsia" w:ascii="仿宋_GB2312" w:hAnsi="仿宋_GB2312" w:eastAsia="仿宋_GB2312" w:cs="仿宋_GB2312"/>
          <w:color w:val="000000" w:themeColor="text1"/>
          <w:sz w:val="32"/>
          <w:szCs w:val="32"/>
          <w14:textFill>
            <w14:solidFill>
              <w14:schemeClr w14:val="tx1"/>
            </w14:solidFill>
          </w14:textFill>
        </w:rPr>
        <w:t>汤旺河镇污水处理厂提标改造工程，达到一级A排放标准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风险隐患</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得到有效化解</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建立</w:t>
      </w:r>
      <w:r>
        <w:rPr>
          <w:rFonts w:hint="eastAsia" w:ascii="仿宋_GB2312" w:hAnsi="仿宋_GB2312" w:eastAsia="仿宋_GB2312" w:cs="仿宋_GB2312"/>
          <w:color w:val="000000" w:themeColor="text1"/>
          <w:sz w:val="32"/>
          <w:szCs w:val="32"/>
          <w14:textFill>
            <w14:solidFill>
              <w14:schemeClr w14:val="tx1"/>
            </w14:solidFill>
          </w14:textFill>
        </w:rPr>
        <w:t>健全政府风险防控机制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政府性债务源头管控不断加强，加大非法集资防范和处置力度</w:t>
      </w:r>
      <w:r>
        <w:rPr>
          <w:rFonts w:hint="eastAsia" w:ascii="仿宋_GB2312" w:hAnsi="仿宋_GB2312" w:eastAsia="仿宋_GB2312" w:cs="仿宋_GB2312"/>
          <w:color w:val="000000" w:themeColor="text1"/>
          <w:sz w:val="32"/>
          <w:szCs w:val="32"/>
          <w14:textFill>
            <w14:solidFill>
              <w14:schemeClr w14:val="tx1"/>
            </w14:solidFill>
          </w14:textFill>
        </w:rPr>
        <w:t>，人民群众财产安全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得到保障</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生态文明建设成果显著。</w:t>
      </w:r>
      <w:r>
        <w:rPr>
          <w:rFonts w:hint="eastAsia" w:ascii="仿宋_GB2312" w:hAnsi="仿宋_GB2312" w:eastAsia="仿宋_GB2312" w:cs="仿宋_GB2312"/>
          <w:color w:val="000000" w:themeColor="text1"/>
          <w:sz w:val="32"/>
          <w:szCs w:val="32"/>
          <w14:textFill>
            <w14:solidFill>
              <w14:schemeClr w14:val="tx1"/>
            </w14:solidFill>
          </w14:textFill>
        </w:rPr>
        <w:t>全力推进《汤旺县国土空间规划》编制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，生态保护红线划定通过省级初审，生态保护措施和责任更加明晰。巩固“绿卫2019”森林草原专项执法行动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和中央环保督查</w:t>
      </w:r>
      <w:r>
        <w:rPr>
          <w:rFonts w:hint="eastAsia" w:ascii="仿宋_GB2312" w:hAnsi="仿宋_GB2312" w:eastAsia="仿宋_GB2312" w:cs="仿宋_GB2312"/>
          <w:color w:val="000000" w:themeColor="text1"/>
          <w:sz w:val="32"/>
          <w:szCs w:val="32"/>
          <w14:textFill>
            <w14:solidFill>
              <w14:schemeClr w14:val="tx1"/>
            </w14:solidFill>
          </w14:textFill>
        </w:rPr>
        <w:t>成果，核查侵权林地面积18.5公顷，完成退耕还林41.5公顷，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退耕还湿196公顷，</w:t>
      </w:r>
      <w:r>
        <w:rPr>
          <w:rFonts w:hint="eastAsia" w:ascii="仿宋_GB2312" w:hAnsi="仿宋_GB2312" w:eastAsia="仿宋_GB2312" w:cs="仿宋_GB2312"/>
          <w:color w:val="000000" w:themeColor="text1"/>
          <w:sz w:val="32"/>
          <w:szCs w:val="32"/>
          <w14:textFill>
            <w14:solidFill>
              <w14:schemeClr w14:val="tx1"/>
            </w14:solidFill>
          </w14:textFill>
        </w:rPr>
        <w:t>植被恢复28.7公顷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加强森林资源培育，完成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森林抚育34.57万</w:t>
      </w:r>
      <w:r>
        <w:rPr>
          <w:rFonts w:hint="eastAsia" w:ascii="仿宋_GB2312" w:hAnsi="仿宋_GB2312" w:eastAsia="仿宋_GB2312" w:cs="仿宋_GB2312"/>
          <w:color w:val="000000" w:themeColor="text1"/>
          <w:sz w:val="32"/>
          <w:szCs w:val="32"/>
          <w14:textFill>
            <w14:solidFill>
              <w14:schemeClr w14:val="tx1"/>
            </w14:solidFill>
          </w14:textFill>
        </w:rPr>
        <w:t>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更新</w:t>
      </w:r>
      <w:r>
        <w:rPr>
          <w:rFonts w:hint="eastAsia" w:ascii="仿宋_GB2312" w:hAnsi="仿宋_GB2312" w:eastAsia="仿宋_GB2312" w:cs="仿宋_GB2312"/>
          <w:color w:val="000000" w:themeColor="text1"/>
          <w:sz w:val="32"/>
          <w:szCs w:val="32"/>
          <w14:textFill>
            <w14:solidFill>
              <w14:schemeClr w14:val="tx1"/>
            </w14:solidFill>
          </w14:textFill>
        </w:rPr>
        <w:t>造林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6.27万</w:t>
      </w:r>
      <w:r>
        <w:rPr>
          <w:rFonts w:hint="eastAsia" w:ascii="仿宋_GB2312" w:hAnsi="仿宋_GB2312" w:eastAsia="仿宋_GB2312" w:cs="仿宋_GB2312"/>
          <w:color w:val="000000" w:themeColor="text1"/>
          <w:sz w:val="32"/>
          <w:szCs w:val="32"/>
          <w14:textFill>
            <w14:solidFill>
              <w14:schemeClr w14:val="tx1"/>
            </w14:solidFill>
          </w14:textFill>
        </w:rPr>
        <w:t>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病虫害防治20万亩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全年未发生森林火灾和洪涝地质灾害。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重点领域改革稳步推进。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重点国有林区改革通过国家验收，</w:t>
      </w:r>
      <w:r>
        <w:rPr>
          <w:rFonts w:hint="eastAsia" w:ascii="仿宋_GB2312" w:hAnsi="仿宋_GB2312" w:eastAsia="仿宋_GB2312" w:cs="仿宋_GB2312"/>
          <w:color w:val="000000" w:themeColor="text1"/>
          <w:sz w:val="32"/>
          <w:szCs w:val="32"/>
          <w14:textFill>
            <w14:solidFill>
              <w14:schemeClr w14:val="tx1"/>
            </w14:solidFill>
          </w14:textFill>
        </w:rPr>
        <w:t>森工企业行政职能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社会职能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移交</w:t>
      </w:r>
      <w:r>
        <w:rPr>
          <w:rFonts w:hint="eastAsia" w:ascii="仿宋_GB2312" w:hAnsi="仿宋_GB2312" w:eastAsia="仿宋_GB2312" w:cs="仿宋_GB2312"/>
          <w:color w:val="000000" w:themeColor="text1"/>
          <w:sz w:val="32"/>
          <w:szCs w:val="32"/>
          <w14:textFill>
            <w14:solidFill>
              <w14:schemeClr w14:val="tx1"/>
            </w14:solidFill>
          </w14:textFill>
        </w:rPr>
        <w:t>基本完成。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完成汤旺河镇、乌伊岭镇区划勘界，启动居（村）民委员会换届工作。</w:t>
      </w:r>
      <w:r>
        <w:rPr>
          <w:rFonts w:hint="eastAsia" w:ascii="仿宋_GB2312" w:hAnsi="仿宋_GB2312" w:eastAsia="仿宋_GB2312" w:cs="仿宋_GB2312"/>
          <w:color w:val="000000" w:themeColor="text1"/>
          <w:sz w:val="32"/>
          <w:szCs w:val="32"/>
          <w14:textFill>
            <w14:solidFill>
              <w14:schemeClr w14:val="tx1"/>
            </w14:solidFill>
          </w14:textFill>
        </w:rPr>
        <w:t>分类分步推进事业单位落编选聘工作，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累计完成落编选</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聘1681人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。市场监管、自然资源、社会保险等行政权限顺利承接。部门预算制全面推开，</w:t>
      </w:r>
      <w:r>
        <w:rPr>
          <w:rFonts w:hint="eastAsia" w:ascii="仿宋_GB2312" w:hAnsi="仿宋_GB2312" w:eastAsia="仿宋_GB2312" w:cs="仿宋_GB2312"/>
          <w:color w:val="000000" w:themeColor="text1"/>
          <w:sz w:val="32"/>
          <w:szCs w:val="32"/>
          <w14:textFill>
            <w14:solidFill>
              <w14:schemeClr w14:val="tx1"/>
            </w14:solidFill>
          </w14:textFill>
        </w:rPr>
        <w:t>省管县财政体制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有序对接</w:t>
      </w:r>
      <w:r>
        <w:rPr>
          <w:rFonts w:hint="eastAsia" w:ascii="仿宋_GB2312" w:hAnsi="仿宋_GB2312" w:eastAsia="仿宋_GB2312" w:cs="仿宋_GB2312"/>
          <w:color w:val="000000" w:themeColor="text1"/>
          <w:sz w:val="32"/>
          <w:szCs w:val="32"/>
          <w14:textFill>
            <w14:solidFill>
              <w14:schemeClr w14:val="tx1"/>
            </w14:solidFill>
          </w14:textFill>
        </w:rPr>
        <w:t>，国库上线工作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顺利</w:t>
      </w:r>
      <w:r>
        <w:rPr>
          <w:rFonts w:hint="eastAsia" w:ascii="仿宋_GB2312" w:hAnsi="仿宋_GB2312" w:eastAsia="仿宋_GB2312" w:cs="仿宋_GB2312"/>
          <w:color w:val="000000" w:themeColor="text1"/>
          <w:sz w:val="32"/>
          <w:szCs w:val="32"/>
          <w14:textFill>
            <w14:solidFill>
              <w14:schemeClr w14:val="tx1"/>
            </w14:solidFill>
          </w14:textFill>
        </w:rPr>
        <w:t>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“放管服”改革不断深入，</w:t>
      </w:r>
      <w:r>
        <w:rPr>
          <w:rFonts w:hint="eastAsia" w:ascii="仿宋_GB2312" w:hAnsi="仿宋_GB2312" w:eastAsia="仿宋_GB2312" w:cs="仿宋_GB2312"/>
          <w:color w:val="000000" w:themeColor="text1"/>
          <w:sz w:val="32"/>
          <w:szCs w:val="32"/>
          <w14:textFill>
            <w14:solidFill>
              <w14:schemeClr w14:val="tx1"/>
            </w14:solidFill>
          </w14:textFill>
        </w:rPr>
        <w:t>认领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行政权力和公共服务1134项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梳理规范权责清单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2211项，政务服务事项网上可办率达到89%；推进</w:t>
      </w:r>
      <w:r>
        <w:rPr>
          <w:rFonts w:hint="eastAsia" w:ascii="仿宋_GB2312" w:hAnsi="仿宋_GB2312" w:eastAsia="仿宋_GB2312" w:cs="仿宋_GB2312"/>
          <w:color w:val="000000" w:themeColor="text1"/>
          <w:sz w:val="32"/>
          <w:szCs w:val="32"/>
          <w14:textFill>
            <w14:solidFill>
              <w14:schemeClr w14:val="tx1"/>
            </w14:solidFill>
          </w14:textFill>
        </w:rPr>
        <w:t>强镇扩权，低保、特困救助等审核确认权下放至镇，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百姓办事更加方便快捷。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城</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乡</w:t>
      </w:r>
      <w:r>
        <w:rPr>
          <w:rFonts w:hint="eastAsia" w:ascii="楷体_GB2312" w:hAnsi="楷体_GB2312" w:eastAsia="楷体_GB2312" w:cs="楷体_GB2312"/>
          <w:b/>
          <w:bCs/>
          <w:color w:val="000000" w:themeColor="text1"/>
          <w:sz w:val="32"/>
          <w:szCs w:val="32"/>
          <w14:textFill>
            <w14:solidFill>
              <w14:schemeClr w14:val="tx1"/>
            </w14:solidFill>
          </w14:textFill>
        </w:rPr>
        <w:t>人居环境持续改善。</w:t>
      </w:r>
      <w:r>
        <w:rPr>
          <w:rFonts w:hint="eastAsia" w:ascii="仿宋_GB2312" w:hAnsi="仿宋_GB2312" w:eastAsia="仿宋_GB2312" w:cs="仿宋_GB2312"/>
          <w:color w:val="000000" w:themeColor="text1"/>
          <w:sz w:val="32"/>
          <w:szCs w:val="32"/>
          <w14:textFill>
            <w14:solidFill>
              <w14:schemeClr w14:val="tx1"/>
            </w14:solidFill>
          </w14:textFill>
        </w:rPr>
        <w:t>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5122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改造老旧小区11.2万平方米，惠及百姓1585户，新建小区广场10个，</w:t>
      </w:r>
      <w:r>
        <w:rPr>
          <w:rFonts w:hint="eastAsia" w:ascii="仿宋_GB2312" w:hAnsi="仿宋_GB2312" w:eastAsia="仿宋_GB2312" w:cs="仿宋_GB2312"/>
          <w:color w:val="000000" w:themeColor="text1"/>
          <w:sz w:val="32"/>
          <w:szCs w:val="32"/>
          <w14:textFill>
            <w14:solidFill>
              <w14:schemeClr w14:val="tx1"/>
            </w14:solidFill>
          </w14:textFill>
        </w:rPr>
        <w:t>安装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休闲</w:t>
      </w:r>
      <w:r>
        <w:rPr>
          <w:rFonts w:hint="eastAsia" w:ascii="仿宋_GB2312" w:hAnsi="仿宋_GB2312" w:eastAsia="仿宋_GB2312" w:cs="仿宋_GB2312"/>
          <w:color w:val="000000" w:themeColor="text1"/>
          <w:sz w:val="32"/>
          <w:szCs w:val="32"/>
          <w14:textFill>
            <w14:solidFill>
              <w14:schemeClr w14:val="tx1"/>
            </w14:solidFill>
          </w14:textFill>
        </w:rPr>
        <w:t>凉亭30座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休闲座椅</w:t>
      </w:r>
      <w:r>
        <w:rPr>
          <w:rFonts w:hint="eastAsia" w:ascii="仿宋_GB2312" w:hAnsi="仿宋_GB2312" w:eastAsia="仿宋_GB2312" w:cs="仿宋_GB2312"/>
          <w:color w:val="000000" w:themeColor="text1"/>
          <w:sz w:val="32"/>
          <w:szCs w:val="32"/>
          <w14:textFill>
            <w14:solidFill>
              <w14:schemeClr w14:val="tx1"/>
            </w14:solidFill>
          </w14:textFill>
        </w:rPr>
        <w:t>115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庭院</w:t>
      </w:r>
      <w:r>
        <w:rPr>
          <w:rFonts w:hint="eastAsia" w:ascii="仿宋_GB2312" w:hAnsi="仿宋_GB2312" w:eastAsia="仿宋_GB2312" w:cs="仿宋_GB2312"/>
          <w:color w:val="000000" w:themeColor="text1"/>
          <w:sz w:val="32"/>
          <w:szCs w:val="32"/>
          <w14:textFill>
            <w14:solidFill>
              <w14:schemeClr w14:val="tx1"/>
            </w14:solidFill>
          </w14:textFill>
        </w:rPr>
        <w:t>灯158盏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安装小区围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挡3385米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植树</w:t>
      </w:r>
      <w:r>
        <w:rPr>
          <w:rFonts w:hint="eastAsia" w:ascii="仿宋_GB2312" w:hAnsi="仿宋_GB2312" w:eastAsia="仿宋_GB2312" w:cs="仿宋_GB2312"/>
          <w:color w:val="000000" w:themeColor="text1"/>
          <w:sz w:val="32"/>
          <w:szCs w:val="32"/>
          <w14:textFill>
            <w14:solidFill>
              <w14:schemeClr w14:val="tx1"/>
            </w14:solidFill>
          </w14:textFill>
        </w:rPr>
        <w:t>14511株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改</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造旅游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公厕5座</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提升供热供水能力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5077</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新建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2座40吨</w:t>
      </w:r>
      <w:r>
        <w:rPr>
          <w:rFonts w:hint="eastAsia" w:ascii="仿宋_GB2312" w:hAnsi="仿宋_GB2312" w:eastAsia="仿宋_GB2312" w:cs="仿宋_GB2312"/>
          <w:color w:val="000000" w:themeColor="text1"/>
          <w:sz w:val="32"/>
          <w:szCs w:val="32"/>
          <w14:textFill>
            <w14:solidFill>
              <w14:schemeClr w14:val="tx1"/>
            </w14:solidFill>
          </w14:textFill>
        </w:rPr>
        <w:t>热水锅炉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14:textFill>
            <w14:solidFill>
              <w14:schemeClr w14:val="tx1"/>
            </w14:solidFill>
          </w14:textFill>
        </w:rPr>
        <w:t>配套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铺设一级管网1274米，改造供热管网700米，对供热设施进行了全面检修</w:t>
      </w:r>
      <w:r>
        <w:rPr>
          <w:rFonts w:hint="eastAsia" w:ascii="仿宋_GB2312" w:hAnsi="仿宋_GB2312" w:eastAsia="仿宋_GB2312" w:cs="仿宋_GB2312"/>
          <w:color w:val="000000" w:themeColor="text1"/>
          <w:sz w:val="32"/>
          <w:szCs w:val="32"/>
          <w14:textFill>
            <w14:solidFill>
              <w14:schemeClr w14:val="tx1"/>
            </w14:solidFill>
          </w14:textFill>
        </w:rPr>
        <w:t>；改造供水管网11000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米</w:t>
      </w:r>
      <w:r>
        <w:rPr>
          <w:rFonts w:hint="eastAsia" w:ascii="仿宋_GB2312" w:hAnsi="仿宋_GB2312" w:eastAsia="仿宋_GB2312" w:cs="仿宋_GB2312"/>
          <w:color w:val="000000" w:themeColor="text1"/>
          <w:sz w:val="32"/>
          <w:szCs w:val="32"/>
          <w14:textFill>
            <w14:solidFill>
              <w14:schemeClr w14:val="tx1"/>
            </w14:solidFill>
          </w14:textFill>
        </w:rPr>
        <w:t>，建设二次加压泵站1座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基本解决了高楼层居民吃水难的问题</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w:t>
      </w:r>
      <w:r>
        <w:rPr>
          <w:rFonts w:hint="eastAsia" w:ascii="仿宋_GB2312" w:hAnsi="仿宋_GB2312" w:eastAsia="仿宋_GB2312" w:cs="仿宋_GB2312"/>
          <w:color w:val="000000" w:themeColor="text1"/>
          <w:sz w:val="32"/>
          <w:szCs w:val="32"/>
          <w14:textFill>
            <w14:solidFill>
              <w14:schemeClr w14:val="tx1"/>
            </w14:solidFill>
          </w14:textFill>
        </w:rPr>
        <w:t>汤旺县石林净水厂改造工程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为乌伊岭镇新</w:t>
      </w:r>
      <w:r>
        <w:rPr>
          <w:rFonts w:hint="eastAsia" w:ascii="仿宋_GB2312" w:hAnsi="仿宋_GB2312" w:eastAsia="仿宋_GB2312" w:cs="仿宋_GB2312"/>
          <w:color w:val="000000" w:themeColor="text1"/>
          <w:sz w:val="32"/>
          <w:szCs w:val="32"/>
          <w14:textFill>
            <w14:solidFill>
              <w14:schemeClr w14:val="tx1"/>
            </w14:solidFill>
          </w14:textFill>
        </w:rPr>
        <w:t>打水源井3眼</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并完成标准化建设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饮用水水质得到全面提升</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深入开展城镇拆违治乱综合整治，加大城镇环境和物业管理力度，城镇管理水平不断提升。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民生社会事业全面发展。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坚持将“稳就业”放在首位，实现新增就业480人，城镇登记失业率</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%。持续提高社会</w:t>
      </w:r>
      <w:r>
        <w:rPr>
          <w:rFonts w:hint="eastAsia" w:ascii="仿宋_GB2312" w:hAnsi="仿宋_GB2312" w:eastAsia="仿宋_GB2312" w:cs="仿宋_GB2312"/>
          <w:color w:val="000000" w:themeColor="text1"/>
          <w:sz w:val="32"/>
          <w:szCs w:val="32"/>
          <w14:textFill>
            <w14:solidFill>
              <w14:schemeClr w14:val="tx1"/>
            </w14:solidFill>
          </w14:textFill>
        </w:rPr>
        <w:t>保障水平，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及时调整发放</w:t>
      </w:r>
      <w:r>
        <w:rPr>
          <w:rFonts w:hint="eastAsia" w:ascii="仿宋_GB2312" w:hAnsi="仿宋_GB2312" w:eastAsia="仿宋_GB2312" w:cs="仿宋_GB2312"/>
          <w:color w:val="000000" w:themeColor="text1"/>
          <w:sz w:val="32"/>
          <w:szCs w:val="32"/>
          <w14:textFill>
            <w14:solidFill>
              <w14:schemeClr w14:val="tx1"/>
            </w14:solidFill>
          </w14:textFill>
        </w:rPr>
        <w:t>低保金、特困供养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及各项</w:t>
      </w:r>
      <w:r>
        <w:rPr>
          <w:rFonts w:hint="eastAsia" w:ascii="仿宋_GB2312" w:hAnsi="仿宋_GB2312" w:eastAsia="仿宋_GB2312" w:cs="仿宋_GB2312"/>
          <w:color w:val="000000" w:themeColor="text1"/>
          <w:sz w:val="32"/>
          <w:szCs w:val="32"/>
          <w14:textFill>
            <w14:solidFill>
              <w14:schemeClr w14:val="tx1"/>
            </w14:solidFill>
          </w14:textFill>
        </w:rPr>
        <w:t>救</w:t>
      </w:r>
      <w:r>
        <w:rPr>
          <w:rFonts w:hint="eastAsia" w:ascii="仿宋_GB2312" w:hAnsi="仿宋_GB2312" w:eastAsia="仿宋_GB2312" w:cs="仿宋_GB2312"/>
          <w:color w:val="000000" w:themeColor="text1"/>
          <w:sz w:val="32"/>
          <w:szCs w:val="32"/>
          <w:u w:val="none"/>
          <w14:textFill>
            <w14:solidFill>
              <w14:schemeClr w14:val="tx1"/>
            </w14:solidFill>
          </w14:textFill>
        </w:rPr>
        <w:t>助资金</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3041</w:t>
      </w:r>
      <w:r>
        <w:rPr>
          <w:rFonts w:hint="eastAsia" w:ascii="仿宋_GB2312" w:hAnsi="仿宋_GB2312" w:eastAsia="仿宋_GB2312" w:cs="仿宋_GB2312"/>
          <w:color w:val="000000" w:themeColor="text1"/>
          <w:sz w:val="32"/>
          <w:szCs w:val="32"/>
          <w:u w:val="none"/>
          <w14:textFill>
            <w14:solidFill>
              <w14:schemeClr w14:val="tx1"/>
            </w14:solidFill>
          </w14:textFill>
        </w:rPr>
        <w:t>万元</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，发放困难残疾人生活补贴和重度残疾人护理补贴141万元，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补发2016至2018年度医保救助金99万元，兑现</w:t>
      </w:r>
      <w:r>
        <w:rPr>
          <w:rFonts w:hint="eastAsia" w:ascii="仿宋_GB2312" w:hAnsi="仿宋_GB2312" w:eastAsia="仿宋_GB2312" w:cs="仿宋_GB2312"/>
          <w:color w:val="000000" w:themeColor="text1"/>
          <w:sz w:val="32"/>
          <w:szCs w:val="32"/>
          <w14:textFill>
            <w14:solidFill>
              <w14:schemeClr w14:val="tx1"/>
            </w14:solidFill>
          </w14:textFill>
        </w:rPr>
        <w:t>80岁以上老人高龄生活补助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分配廉租住房70套</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投入医保资金</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7188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补缴养老保险金404万元。基层公共卫生能力全面提升，投入资金1096万元，购置64排CT、四维彩超等先进诊疗设备。义务教育实现基本均衡发展，84名考生升入省级示范高中。投入资金181万元，为全民健身中心购置健身器材，更换了中心广场大屏幕。严格落实退役军人安置政策，发放退役军人各类补助金</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103万元，安置就业63人。投入资金110余万元，完成“雪亮工程”全部布点，公共安全和社会稳定形势良好。“七五”普法任务全面完成。干部职工收入水平进一步提高，投入资金1750万元，为</w:t>
      </w:r>
      <w:r>
        <w:rPr>
          <w:rFonts w:hint="eastAsia" w:ascii="仿宋_GB2312" w:hAnsi="仿宋_GB2312" w:eastAsia="仿宋_GB2312" w:cs="仿宋_GB2312"/>
          <w:color w:val="000000" w:themeColor="text1"/>
          <w:sz w:val="32"/>
          <w:szCs w:val="32"/>
          <w:u w:val="none"/>
          <w14:textFill>
            <w14:solidFill>
              <w14:schemeClr w14:val="tx1"/>
            </w14:solidFill>
          </w14:textFill>
        </w:rPr>
        <w:t>符合政策人员兑现</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了</w:t>
      </w:r>
      <w:r>
        <w:rPr>
          <w:rFonts w:hint="eastAsia" w:ascii="仿宋_GB2312" w:hAnsi="仿宋_GB2312" w:eastAsia="仿宋_GB2312" w:cs="仿宋_GB2312"/>
          <w:color w:val="000000" w:themeColor="text1"/>
          <w:sz w:val="32"/>
          <w:szCs w:val="32"/>
          <w:u w:val="none"/>
          <w14:textFill>
            <w14:solidFill>
              <w14:schemeClr w14:val="tx1"/>
            </w14:solidFill>
          </w14:textFill>
        </w:rPr>
        <w:t>住房提租补贴待遇</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住房公积金标准提高到每人每月240元，为机关事业单位在岗人员每人发放职工福利413元。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各位代表！过去一年，疫情防控和经济社会发展工作取得的成绩，是</w:t>
      </w:r>
      <w:r>
        <w:rPr>
          <w:rFonts w:hint="eastAsia" w:ascii="仿宋_GB2312" w:hAnsi="仿宋_GB2312" w:eastAsia="仿宋_GB2312" w:cs="仿宋_GB2312"/>
          <w:color w:val="000000" w:themeColor="text1"/>
          <w:sz w:val="32"/>
          <w:szCs w:val="32"/>
          <w14:textFill>
            <w14:solidFill>
              <w14:schemeClr w14:val="tx1"/>
            </w14:solidFill>
          </w14:textFill>
        </w:rPr>
        <w:t>习近平新时代中国特色社会主义思想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引领</w:t>
      </w:r>
      <w:r>
        <w:rPr>
          <w:rFonts w:hint="eastAsia" w:ascii="仿宋_GB2312" w:hAnsi="仿宋_GB2312" w:eastAsia="仿宋_GB2312" w:cs="仿宋_GB2312"/>
          <w:color w:val="000000" w:themeColor="text1"/>
          <w:sz w:val="32"/>
          <w:szCs w:val="32"/>
          <w14:textFill>
            <w14:solidFill>
              <w14:schemeClr w14:val="tx1"/>
            </w14:solidFill>
          </w14:textFill>
        </w:rPr>
        <w:t>的结果，是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市委、市政府和</w:t>
      </w:r>
      <w:r>
        <w:rPr>
          <w:rFonts w:hint="eastAsia" w:ascii="仿宋_GB2312" w:hAnsi="仿宋_GB2312" w:eastAsia="仿宋_GB2312" w:cs="仿宋_GB2312"/>
          <w:color w:val="000000" w:themeColor="text1"/>
          <w:sz w:val="32"/>
          <w:szCs w:val="32"/>
          <w14:textFill>
            <w14:solidFill>
              <w14:schemeClr w14:val="tx1"/>
            </w14:solidFill>
          </w14:textFill>
        </w:rPr>
        <w:t>县委坚强领导的结果，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是县人大、县政协有力监督支持的结果，</w:t>
      </w:r>
      <w:r>
        <w:rPr>
          <w:rFonts w:hint="eastAsia" w:ascii="仿宋_GB2312" w:hAnsi="仿宋_GB2312" w:eastAsia="仿宋_GB2312" w:cs="仿宋_GB2312"/>
          <w:color w:val="000000" w:themeColor="text1"/>
          <w:sz w:val="32"/>
          <w:szCs w:val="32"/>
          <w14:textFill>
            <w14:solidFill>
              <w14:schemeClr w14:val="tx1"/>
            </w14:solidFill>
          </w14:textFill>
        </w:rPr>
        <w:t>更是全县干部群众团结一心、努力拼搏的结果。在此，我代表县政府，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向全县人民</w:t>
      </w:r>
      <w:r>
        <w:rPr>
          <w:rFonts w:hint="eastAsia" w:ascii="仿宋_GB2312" w:hAnsi="仿宋_GB2312" w:eastAsia="仿宋_GB2312" w:cs="仿宋_GB2312"/>
          <w:color w:val="000000" w:themeColor="text1"/>
          <w:sz w:val="32"/>
          <w:szCs w:val="32"/>
          <w14:textFill>
            <w14:solidFill>
              <w14:schemeClr w14:val="tx1"/>
            </w14:solidFill>
          </w14:textFill>
        </w:rPr>
        <w:t>及所有参与、支持和关心汤旺县发展建设的各界人士，致以崇高的敬意和衷心的感谢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各位代表！</w:t>
      </w:r>
      <w:r>
        <w:rPr>
          <w:rFonts w:hint="eastAsia" w:ascii="仿宋_GB2312" w:hAnsi="仿宋_GB2312" w:eastAsia="仿宋_GB2312" w:cs="仿宋_GB2312"/>
          <w:color w:val="000000" w:themeColor="text1"/>
          <w:sz w:val="32"/>
          <w:szCs w:val="32"/>
          <w14:textFill>
            <w14:solidFill>
              <w14:schemeClr w14:val="tx1"/>
            </w14:solidFill>
          </w14:textFill>
        </w:rPr>
        <w:t>在肯定成绩的同时，我们也清醒的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认识到</w:t>
      </w:r>
      <w:r>
        <w:rPr>
          <w:rFonts w:hint="eastAsia" w:ascii="仿宋_GB2312" w:hAnsi="仿宋_GB2312" w:eastAsia="仿宋_GB2312" w:cs="仿宋_GB2312"/>
          <w:color w:val="000000" w:themeColor="text1"/>
          <w:sz w:val="32"/>
          <w:szCs w:val="32"/>
          <w14:textFill>
            <w14:solidFill>
              <w14:schemeClr w14:val="tx1"/>
            </w14:solidFill>
          </w14:textFill>
        </w:rPr>
        <w:t>，汤旺县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经济社会发展</w:t>
      </w:r>
      <w:r>
        <w:rPr>
          <w:rFonts w:hint="eastAsia" w:ascii="仿宋_GB2312" w:hAnsi="仿宋_GB2312" w:eastAsia="仿宋_GB2312" w:cs="仿宋_GB2312"/>
          <w:color w:val="000000" w:themeColor="text1"/>
          <w:sz w:val="32"/>
          <w:szCs w:val="32"/>
          <w14:textFill>
            <w14:solidFill>
              <w14:schemeClr w14:val="tx1"/>
            </w14:solidFill>
          </w14:textFill>
        </w:rPr>
        <w:t>还面临诸多困难和问题，主要是：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经济总量小、市场主体少，增长动力不足；省管县财政体制仍需协调，保民生、保运转压力较大；县域公共服务基础薄弱，民生领域短板弱项欠账较多；</w:t>
      </w:r>
      <w:r>
        <w:rPr>
          <w:rFonts w:hint="eastAsia" w:ascii="仿宋_GB2312" w:hAnsi="仿宋_GB2312" w:eastAsia="仿宋_GB2312" w:cs="仿宋_GB2312"/>
          <w:color w:val="000000" w:themeColor="text1"/>
          <w:sz w:val="32"/>
          <w:szCs w:val="32"/>
          <w14:textFill>
            <w14:solidFill>
              <w14:schemeClr w14:val="tx1"/>
            </w14:solidFill>
          </w14:textFill>
        </w:rPr>
        <w:t>人才人口流失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趋势仍未扭转</w:t>
      </w:r>
      <w:r>
        <w:rPr>
          <w:rFonts w:hint="eastAsia" w:ascii="仿宋_GB2312" w:hAnsi="仿宋_GB2312" w:eastAsia="仿宋_GB2312" w:cs="仿宋_GB2312"/>
          <w:color w:val="000000" w:themeColor="text1"/>
          <w:sz w:val="32"/>
          <w:szCs w:val="32"/>
          <w14:textFill>
            <w14:solidFill>
              <w14:schemeClr w14:val="tx1"/>
            </w14:solidFill>
          </w14:textFill>
        </w:rPr>
        <w:t>，就业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创业</w:t>
      </w:r>
      <w:r>
        <w:rPr>
          <w:rFonts w:hint="eastAsia" w:ascii="仿宋_GB2312" w:hAnsi="仿宋_GB2312" w:eastAsia="仿宋_GB2312" w:cs="仿宋_GB2312"/>
          <w:color w:val="000000" w:themeColor="text1"/>
          <w:sz w:val="32"/>
          <w:szCs w:val="32"/>
          <w14:textFill>
            <w14:solidFill>
              <w14:schemeClr w14:val="tx1"/>
            </w14:solidFill>
          </w14:textFill>
        </w:rPr>
        <w:t>吸引力不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个别干部能力不足、作风不实、担当不够，营商环境还需不断优化。</w:t>
      </w:r>
      <w:r>
        <w:rPr>
          <w:rFonts w:hint="eastAsia" w:ascii="仿宋_GB2312" w:hAnsi="仿宋_GB2312" w:eastAsia="仿宋_GB2312" w:cs="仿宋_GB2312"/>
          <w:color w:val="000000" w:themeColor="text1"/>
          <w:sz w:val="32"/>
          <w:szCs w:val="32"/>
          <w14:textFill>
            <w14:solidFill>
              <w14:schemeClr w14:val="tx1"/>
            </w14:solidFill>
          </w14:textFill>
        </w:rPr>
        <w:t>对此，县政府将坚持问题导向，尽最大努力加以解决。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“十四五”时期的主要</w:t>
      </w:r>
      <w:r>
        <w:rPr>
          <w:rFonts w:hint="eastAsia" w:ascii="黑体" w:hAnsi="黑体" w:eastAsia="黑体" w:cs="黑体"/>
          <w:color w:val="000000" w:themeColor="text1"/>
          <w:sz w:val="32"/>
          <w:szCs w:val="32"/>
          <w:lang w:val="en-US" w:eastAsia="zh-CN"/>
          <w14:textFill>
            <w14:solidFill>
              <w14:schemeClr w14:val="tx1"/>
            </w14:solidFill>
          </w14:textFill>
        </w:rPr>
        <w:t>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根据《中共</w:t>
      </w:r>
      <w:r>
        <w:rPr>
          <w:rFonts w:hint="eastAsia" w:ascii="仿宋_GB2312" w:hAnsi="仿宋_GB2312" w:eastAsia="仿宋_GB2312" w:cs="仿宋_GB2312"/>
          <w:b w:val="0"/>
          <w:i w:val="0"/>
          <w:caps w:val="0"/>
          <w:color w:val="000000" w:themeColor="text1"/>
          <w:spacing w:val="0"/>
          <w:sz w:val="32"/>
          <w:szCs w:val="32"/>
          <w:shd w:val="clear" w:fill="FFFFFF"/>
          <w:lang w:val="en-US" w:eastAsia="zh-CN"/>
          <w14:textFill>
            <w14:solidFill>
              <w14:schemeClr w14:val="tx1"/>
            </w14:solidFill>
          </w14:textFill>
        </w:rPr>
        <w:t>汤旺县</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委关于制定国民经济和社会发展第十四个五年规划和二〇三五年远景目标的建议》，</w:t>
      </w:r>
      <w:r>
        <w:rPr>
          <w:rFonts w:hint="eastAsia" w:ascii="仿宋_GB2312" w:hAnsi="仿宋_GB2312" w:eastAsia="仿宋_GB2312" w:cs="仿宋_GB2312"/>
          <w:b w:val="0"/>
          <w:i w:val="0"/>
          <w:caps w:val="0"/>
          <w:color w:val="000000" w:themeColor="text1"/>
          <w:spacing w:val="0"/>
          <w:sz w:val="32"/>
          <w:szCs w:val="32"/>
          <w:shd w:val="clear" w:fill="FFFFFF"/>
          <w:lang w:val="en-US" w:eastAsia="zh-CN"/>
          <w14:textFill>
            <w14:solidFill>
              <w14:schemeClr w14:val="tx1"/>
            </w14:solidFill>
          </w14:textFill>
        </w:rPr>
        <w:t>县政府</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编制了《</w:t>
      </w:r>
      <w:r>
        <w:rPr>
          <w:rFonts w:hint="eastAsia" w:ascii="仿宋_GB2312" w:hAnsi="仿宋_GB2312" w:eastAsia="仿宋_GB2312" w:cs="仿宋_GB2312"/>
          <w:b w:val="0"/>
          <w:i w:val="0"/>
          <w:caps w:val="0"/>
          <w:color w:val="000000" w:themeColor="text1"/>
          <w:spacing w:val="0"/>
          <w:sz w:val="32"/>
          <w:szCs w:val="32"/>
          <w:shd w:val="clear" w:fill="FFFFFF"/>
          <w:lang w:val="en-US" w:eastAsia="zh-CN"/>
          <w14:textFill>
            <w14:solidFill>
              <w14:schemeClr w14:val="tx1"/>
            </w14:solidFill>
          </w14:textFill>
        </w:rPr>
        <w:t>汤旺县</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国民经济和社会发展第十四个五年规划和二〇三五年远景目标纲要（草案）》，提请大会审议。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四五”时期，全县经济社会发展的主要目标是：锁定2035年远景目标，牢记“让老林区焕发青春活力”政治嘱托，围绕“生态立县、旅游强县”发展定位，突出生态优势，深植后发优势，以“大转型、大改革”推进高质量转型发展，到2025年，“大转型”目标基本实现，“大改革”任务全面完成，汤旺县全面振兴全方位振兴取得新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为了实现上述目标，我们要把握好三个方面：</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一是准确把握新形势，聚焦优势特色产业，推动汤旺县经济社会全面振兴全方位振兴。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贯彻落实党中央重大决策和省、市、县委部署要求，立足国家重点生态功能区和生态县基本定位，优化结构、扬长避短，着力构建绿色生态产业体系，形成县域经济新支撑，充分参与国内国际经济“大循环、双循环”，努力实现高质高效、持续安全、公平公正的经济发展新格局。</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二是牢记总书记殷切嘱托，围绕答好“林区三问”，让发展成果惠及广大群众。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生态立县、旅游强县”发展定位，加大生态环境综合治理力度，着力提升生态质量、生态功能和生态效益。协同推进生态文明建设和县域经济社会发展，树立生态旅游业主业地位，提升森林食品北药产业发展层级，拓展北红玛瑙产业高端市场。着力改善人民生活品质，加强普惠性、基础性、均等性、兜底性民生工程建设，更好满足人民群众美好生活需求。</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三是毫不放松抓经济，全力上项目抓投资，切实增强县域经济内生动力。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紧紧抓住国家扩大内需战略机遇，依托资源优势，突出大项目拉动，实施全方位招商，扩大高质有效投资和高新技术投资规模。大力推进“两新一重”等重大基础设施建设，谋划建设一批打基础、利长远、务实效的重大项目、重点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三、2021年主要工作安排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2021年是“十四五”规划</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开局</w:t>
      </w:r>
      <w:r>
        <w:rPr>
          <w:rFonts w:hint="eastAsia" w:ascii="仿宋_GB2312" w:hAnsi="仿宋_GB2312" w:eastAsia="仿宋_GB2312" w:cs="仿宋_GB2312"/>
          <w:color w:val="000000" w:themeColor="text1"/>
          <w:sz w:val="32"/>
          <w:szCs w:val="32"/>
          <w14:textFill>
            <w14:solidFill>
              <w14:schemeClr w14:val="tx1"/>
            </w14:solidFill>
          </w14:textFill>
        </w:rPr>
        <w:t>之年，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政府工作</w:t>
      </w:r>
      <w:r>
        <w:rPr>
          <w:rFonts w:hint="eastAsia" w:ascii="仿宋_GB2312" w:hAnsi="仿宋_GB2312" w:eastAsia="仿宋_GB2312" w:cs="仿宋_GB2312"/>
          <w:color w:val="000000" w:themeColor="text1"/>
          <w:sz w:val="32"/>
          <w:szCs w:val="32"/>
          <w14:textFill>
            <w14:solidFill>
              <w14:schemeClr w14:val="tx1"/>
            </w14:solidFill>
          </w14:textFill>
        </w:rPr>
        <w:t>的总体要求是：</w:t>
      </w:r>
      <w:r>
        <w:rPr>
          <w:rFonts w:hint="eastAsia" w:ascii="仿宋_GB2312" w:hAnsi="仿宋_GB2312" w:eastAsia="仿宋_GB2312" w:cs="仿宋_GB2312"/>
          <w:b/>
          <w:bCs/>
          <w:color w:val="000000" w:themeColor="text1"/>
          <w:sz w:val="32"/>
          <w:szCs w:val="32"/>
          <w14:textFill>
            <w14:solidFill>
              <w14:schemeClr w14:val="tx1"/>
            </w14:solidFill>
          </w14:textFill>
        </w:rPr>
        <w:t>以习近平新时代中国特色社会主义思想为指导，全面贯彻</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落实</w:t>
      </w:r>
      <w:r>
        <w:rPr>
          <w:rFonts w:hint="eastAsia" w:ascii="仿宋_GB2312" w:hAnsi="仿宋_GB2312" w:eastAsia="仿宋_GB2312" w:cs="仿宋_GB2312"/>
          <w:b/>
          <w:bCs/>
          <w:color w:val="000000" w:themeColor="text1"/>
          <w:sz w:val="32"/>
          <w:szCs w:val="32"/>
          <w14:textFill>
            <w14:solidFill>
              <w14:schemeClr w14:val="tx1"/>
            </w14:solidFill>
          </w14:textFill>
        </w:rPr>
        <w:t>党的十九大和十九届二中、三中、四中</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、五中</w:t>
      </w:r>
      <w:r>
        <w:rPr>
          <w:rFonts w:hint="eastAsia" w:ascii="仿宋_GB2312" w:hAnsi="仿宋_GB2312" w:eastAsia="仿宋_GB2312" w:cs="仿宋_GB2312"/>
          <w:b/>
          <w:bCs/>
          <w:color w:val="000000" w:themeColor="text1"/>
          <w:sz w:val="32"/>
          <w:szCs w:val="32"/>
          <w14:textFill>
            <w14:solidFill>
              <w14:schemeClr w14:val="tx1"/>
            </w14:solidFill>
          </w14:textFill>
        </w:rPr>
        <w:t>全会</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，省委十二届八次全会、市委十二届八次全会及</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国家、省、市</w:t>
      </w:r>
      <w:r>
        <w:rPr>
          <w:rFonts w:hint="eastAsia" w:ascii="仿宋_GB2312" w:hAnsi="仿宋_GB2312" w:eastAsia="仿宋_GB2312" w:cs="仿宋_GB2312"/>
          <w:b/>
          <w:bCs/>
          <w:color w:val="000000" w:themeColor="text1"/>
          <w:sz w:val="32"/>
          <w:szCs w:val="32"/>
          <w14:textFill>
            <w14:solidFill>
              <w14:schemeClr w14:val="tx1"/>
            </w14:solidFill>
          </w14:textFill>
        </w:rPr>
        <w:t>经济工作会议精神，</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坚持稳中求进工作总基调，立足新阶段，坚持新理念，融入新格局，</w:t>
      </w:r>
      <w:r>
        <w:rPr>
          <w:rFonts w:hint="eastAsia" w:ascii="仿宋_GB2312" w:hAnsi="仿宋_GB2312" w:eastAsia="仿宋_GB2312" w:cs="仿宋_GB2312"/>
          <w:b/>
          <w:bCs/>
          <w:color w:val="000000" w:themeColor="text1"/>
          <w:sz w:val="32"/>
          <w:szCs w:val="32"/>
          <w14:textFill>
            <w14:solidFill>
              <w14:schemeClr w14:val="tx1"/>
            </w14:solidFill>
          </w14:textFill>
        </w:rPr>
        <w:t>统筹推进常态化疫情防控和经济社会发展</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，牢牢把握</w:t>
      </w:r>
      <w:r>
        <w:rPr>
          <w:rFonts w:hint="eastAsia" w:ascii="仿宋_GB2312" w:hAnsi="仿宋_GB2312" w:eastAsia="仿宋_GB2312" w:cs="仿宋_GB2312"/>
          <w:b/>
          <w:bCs/>
          <w:color w:val="000000" w:themeColor="text1"/>
          <w:sz w:val="32"/>
          <w:szCs w:val="32"/>
          <w14:textFill>
            <w14:solidFill>
              <w14:schemeClr w14:val="tx1"/>
            </w14:solidFill>
          </w14:textFill>
        </w:rPr>
        <w:t>“生态立县、旅游强县”</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定位</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抓好“六稳”工作，落实“六保”任务，</w:t>
      </w:r>
      <w:r>
        <w:rPr>
          <w:rFonts w:hint="eastAsia" w:ascii="仿宋_GB2312" w:hAnsi="仿宋_GB2312" w:eastAsia="仿宋_GB2312" w:cs="仿宋_GB2312"/>
          <w:b/>
          <w:bCs/>
          <w:color w:val="000000" w:themeColor="text1"/>
          <w:sz w:val="32"/>
          <w:szCs w:val="32"/>
          <w14:textFill>
            <w14:solidFill>
              <w14:schemeClr w14:val="tx1"/>
            </w14:solidFill>
          </w14:textFill>
        </w:rPr>
        <w:t>突出抓重点、补短板、强弱项，加快推进</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优势特色产业发展和</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新型城镇化建设，</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着力优化营商环境，全力保障改善民生，加快推进绿色高质量转型发展，确保“十四五”良好开局，以优异成绩为中国共产党成立100周年献礼</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主要预期目标是：地区生产总值增长</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u w:val="none"/>
          <w14:textFill>
            <w14:solidFill>
              <w14:schemeClr w14:val="tx1"/>
            </w14:solidFill>
          </w14:textFill>
        </w:rPr>
        <w:t>%；固定资产投资增长</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6 </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规上</w:t>
      </w:r>
      <w:r>
        <w:rPr>
          <w:rFonts w:hint="eastAsia" w:ascii="仿宋_GB2312" w:hAnsi="仿宋_GB2312" w:eastAsia="仿宋_GB2312" w:cs="仿宋_GB2312"/>
          <w:color w:val="000000" w:themeColor="text1"/>
          <w:sz w:val="32"/>
          <w:szCs w:val="32"/>
          <w:u w:val="none"/>
          <w14:textFill>
            <w14:solidFill>
              <w14:schemeClr w14:val="tx1"/>
            </w14:solidFill>
          </w14:textFill>
        </w:rPr>
        <w:t>工业增加值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增长3%</w:t>
      </w:r>
      <w:r>
        <w:rPr>
          <w:rFonts w:hint="eastAsia" w:ascii="仿宋_GB2312" w:hAnsi="仿宋_GB2312" w:eastAsia="仿宋_GB2312" w:cs="仿宋_GB2312"/>
          <w:color w:val="000000" w:themeColor="text1"/>
          <w:sz w:val="32"/>
          <w:szCs w:val="32"/>
          <w:u w:val="none"/>
          <w14:textFill>
            <w14:solidFill>
              <w14:schemeClr w14:val="tx1"/>
            </w14:solidFill>
          </w14:textFill>
        </w:rPr>
        <w:t>；公共预算收入增长</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u w:val="none"/>
          <w14:textFill>
            <w14:solidFill>
              <w14:schemeClr w14:val="tx1"/>
            </w14:solidFill>
          </w14:textFill>
        </w:rPr>
        <w:t>%；社会消费品零售总额增长</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居民收入稳步增长，城镇新增就业550人，</w:t>
      </w:r>
      <w:r>
        <w:rPr>
          <w:rFonts w:hint="eastAsia" w:ascii="仿宋_GB2312" w:hAnsi="仿宋_GB2312" w:eastAsia="仿宋_GB2312" w:cs="仿宋_GB2312"/>
          <w:color w:val="000000" w:themeColor="text1"/>
          <w:sz w:val="32"/>
          <w:szCs w:val="32"/>
          <w:u w:val="none"/>
          <w14:textFill>
            <w14:solidFill>
              <w14:schemeClr w14:val="tx1"/>
            </w14:solidFill>
          </w14:textFill>
        </w:rPr>
        <w:t>城镇登记失业率控制在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u w:val="none"/>
          <w14:textFill>
            <w14:solidFill>
              <w14:schemeClr w14:val="tx1"/>
            </w14:solidFill>
          </w14:textFill>
        </w:rPr>
        <w:t>%以内。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围绕上述目标，重点做好以下六项工作：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（一）抓好常态化疫情防控，为经济社会发展提供有力保障。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化疫情防控应急指挥体系建设，建立健全常态化防控和应急状态转换机制，完善应急预案体系，抓好应急演练，提升突发公共卫生事件应急处置能力。压实“四方责任”，坚持“人物同防”，坚决把住“入口”关，落实“网格化”管理措施，加强境外和国内中高风险地区返汤人员管理，统筹抓好农村疫情防控工作。充分发挥“哨点”作用，强化医院、学校、农贸市场、养老机构、旅游景区等重点场所监测防控，加强冷链进口食品和从业人员的排查管控，及时消除新冠肺炎疫情风险隐患。强化院感防控、核酸检测、流行病学调查、集中隔离能力建设，确保按照标准满足应急、战时状态需求；强化疫情防控物资储备，有序做好新冠疫苗接种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（二）强化生态综合治理，提高</w:t>
      </w:r>
      <w:r>
        <w:rPr>
          <w:rFonts w:hint="eastAsia" w:ascii="楷体_GB2312" w:hAnsi="楷体_GB2312" w:eastAsia="楷体_GB2312" w:cs="楷体_GB2312"/>
          <w:b/>
          <w:bCs/>
          <w:color w:val="000000" w:themeColor="text1"/>
          <w:sz w:val="32"/>
          <w:szCs w:val="32"/>
          <w14:textFill>
            <w14:solidFill>
              <w14:schemeClr w14:val="tx1"/>
            </w14:solidFill>
          </w14:textFill>
        </w:rPr>
        <w:t>生态文明建设质量</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坚持像保护眼睛一样保护生态环境，</w:t>
      </w:r>
      <w:r>
        <w:rPr>
          <w:rFonts w:hint="eastAsia" w:ascii="仿宋_GB2312" w:eastAsia="仿宋_GB2312"/>
          <w:color w:val="000000" w:themeColor="text1"/>
          <w:sz w:val="32"/>
          <w:szCs w:val="32"/>
          <w:lang w:val="en-US" w:eastAsia="zh-CN"/>
          <w14:textFill>
            <w14:solidFill>
              <w14:schemeClr w14:val="tx1"/>
            </w14:solidFill>
          </w14:textFill>
        </w:rPr>
        <w:t>突出系统保护、综合治理、整体修复，</w:t>
      </w:r>
      <w:r>
        <w:rPr>
          <w:rFonts w:hint="eastAsia" w:ascii="仿宋_GB2312" w:eastAsia="仿宋_GB2312"/>
          <w:color w:val="000000" w:themeColor="text1"/>
          <w:sz w:val="32"/>
          <w:szCs w:val="32"/>
          <w14:textFill>
            <w14:solidFill>
              <w14:schemeClr w14:val="tx1"/>
            </w14:solidFill>
          </w14:textFill>
        </w:rPr>
        <w:t>建立良性稳定</w:t>
      </w:r>
      <w:r>
        <w:rPr>
          <w:rFonts w:hint="eastAsia" w:ascii="仿宋_GB2312" w:eastAsia="仿宋_GB2312"/>
          <w:color w:val="000000" w:themeColor="text1"/>
          <w:sz w:val="32"/>
          <w:szCs w:val="32"/>
          <w:lang w:val="en-US" w:eastAsia="zh-CN"/>
          <w14:textFill>
            <w14:solidFill>
              <w14:schemeClr w14:val="tx1"/>
            </w14:solidFill>
          </w14:textFill>
        </w:rPr>
        <w:t>健康</w:t>
      </w:r>
      <w:r>
        <w:rPr>
          <w:rFonts w:hint="eastAsia" w:ascii="仿宋_GB2312" w:eastAsia="仿宋_GB2312"/>
          <w:color w:val="000000" w:themeColor="text1"/>
          <w:sz w:val="32"/>
          <w:szCs w:val="32"/>
          <w14:textFill>
            <w14:solidFill>
              <w14:schemeClr w14:val="tx1"/>
            </w14:solidFill>
          </w14:textFill>
        </w:rPr>
        <w:t>的森林生态体系</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坚守生态红线不动摇。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将最严格的生态保护措施固化为制度优势，完善土地、矿权、自然资源资产管理体系。加强森林资源保护，落实落靠政府主体责任、部门监管责任、森工企业管护责任，全面推行“林长制”，</w:t>
      </w:r>
      <w:r>
        <w:rPr>
          <w:rFonts w:hint="eastAsia" w:ascii="仿宋_GB2312" w:hAnsi="仿宋_GB2312" w:eastAsia="仿宋_GB2312" w:cs="仿宋_GB2312"/>
          <w:color w:val="000000" w:themeColor="text1"/>
          <w:sz w:val="32"/>
          <w:szCs w:val="32"/>
          <w14:textFill>
            <w14:solidFill>
              <w14:schemeClr w14:val="tx1"/>
            </w14:solidFill>
          </w14:textFill>
        </w:rPr>
        <w:t>严厉打击盗伐林木、蚕食林地、毁林毁湿开荒、盗挖矿产、乱捕滥猎野生动物等违法犯罪行为，严肃查处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涉及生态</w:t>
      </w:r>
      <w:r>
        <w:rPr>
          <w:rFonts w:hint="eastAsia" w:ascii="仿宋_GB2312" w:hAnsi="仿宋_GB2312" w:eastAsia="仿宋_GB2312" w:cs="仿宋_GB2312"/>
          <w:color w:val="000000" w:themeColor="text1"/>
          <w:sz w:val="32"/>
          <w:szCs w:val="32"/>
          <w14:textFill>
            <w14:solidFill>
              <w14:schemeClr w14:val="tx1"/>
            </w14:solidFill>
          </w14:textFill>
        </w:rPr>
        <w:t>的违法违纪行为。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加强自然保护区建设管理，与哈尔滨师范大学开展校地科研合作，建设湿地生态系统定位观测研究站。</w:t>
      </w:r>
      <w:r>
        <w:rPr>
          <w:rFonts w:hint="eastAsia" w:ascii="仿宋_GB2312" w:hAnsi="仿宋_GB2312" w:eastAsia="仿宋_GB2312" w:cs="仿宋_GB2312"/>
          <w:color w:val="000000" w:themeColor="text1"/>
          <w:sz w:val="32"/>
          <w:szCs w:val="32"/>
          <w14:textFill>
            <w14:solidFill>
              <w14:schemeClr w14:val="tx1"/>
            </w14:solidFill>
          </w14:textFill>
        </w:rPr>
        <w:t>完善防火、防汛基础设施，确保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w:t>
      </w:r>
      <w:r>
        <w:rPr>
          <w:rFonts w:hint="eastAsia" w:ascii="仿宋_GB2312" w:hAnsi="仿宋_GB2312" w:eastAsia="仿宋_GB2312" w:cs="仿宋_GB2312"/>
          <w:color w:val="000000" w:themeColor="text1"/>
          <w:sz w:val="32"/>
          <w:szCs w:val="32"/>
          <w14:textFill>
            <w14:solidFill>
              <w14:schemeClr w14:val="tx1"/>
            </w14:solidFill>
          </w14:textFill>
        </w:rPr>
        <w:t>无重大森林火灾和重大洪水地质灾害。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加强后备森林资源培育。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支持森工企业聚焦森林保护经营主责主业，构建更加完善的森林保护经营体系。按计划完成森林抚育、更新造林任务，严格执行退耕还林还湿计划。</w:t>
      </w:r>
      <w:r>
        <w:rPr>
          <w:rFonts w:hint="eastAsia" w:ascii="仿宋_GB2312" w:eastAsia="仿宋_GB2312"/>
          <w:color w:val="000000" w:themeColor="text1"/>
          <w:sz w:val="32"/>
          <w:szCs w:val="32"/>
          <w14:textFill>
            <w14:solidFill>
              <w14:schemeClr w14:val="tx1"/>
            </w14:solidFill>
          </w14:textFill>
        </w:rPr>
        <w:t>强化野生动植物疫病防治体系建设，完善监测预警处置机制，确保不发生森林疫情。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打好防治污染攻坚战。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推进大气污染源综合治理，禁止秸秆露天焚烧，确保</w:t>
      </w:r>
      <w:r>
        <w:rPr>
          <w:rFonts w:hint="eastAsia" w:ascii="仿宋_GB2312" w:hAnsi="仿宋_GB2312" w:eastAsia="仿宋_GB2312" w:cs="仿宋_GB2312"/>
          <w:color w:val="000000" w:themeColor="text1"/>
          <w:sz w:val="32"/>
          <w:szCs w:val="32"/>
          <w14:textFill>
            <w14:solidFill>
              <w14:schemeClr w14:val="tx1"/>
            </w14:solidFill>
          </w14:textFill>
        </w:rPr>
        <w:t>建成区20蒸吨以上锅炉达标排放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巩固“中国天然氧吧”创建成果。推动河长制全面见效，持续抓好河湖“清四乱”。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投入资金3800万元，对县内2座污水处理厂实施改造，对东风大桥至污水处理厂段水域进行综合治理。推进汤旺河镇水源地重新划定工作，新打水源井3眼。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加强化肥农药减量化和土壤污染治理</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，严格废弃菌包、农药包装管理。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（三）深入贯彻新发展理念，构建绿色生态产业体系。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围绕建设“两座金山银山”，以满足广大群众需求为根本，提供优质生态产品和服务，加快构建绿色生态产业体系，提升优势特色产业产品供给力和市场竞争力。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推进</w:t>
      </w:r>
      <w:r>
        <w:rPr>
          <w:rFonts w:hint="eastAsia" w:ascii="仿宋_GB2312" w:hAnsi="仿宋_GB2312" w:eastAsia="仿宋_GB2312" w:cs="仿宋_GB2312"/>
          <w:b/>
          <w:bCs/>
          <w:color w:val="000000" w:themeColor="text1"/>
          <w:sz w:val="32"/>
          <w:szCs w:val="32"/>
          <w14:textFill>
            <w14:solidFill>
              <w14:schemeClr w14:val="tx1"/>
            </w14:solidFill>
          </w14:textFill>
        </w:rPr>
        <w:t>生态旅游产业</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高质量发展</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进一步完善重点景区及主城区的基础设施和公共服务设施建设，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投入资金</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1,500万元，实施小兴安岭花岗岩石林国家地质公园配套基础设施建设项目，完善无线网络、信息服务、智慧票务</w:t>
      </w:r>
      <w:r>
        <w:rPr>
          <w:rFonts w:hint="eastAsia" w:ascii="仿宋_GB2312" w:hAnsi="仿宋_GB2312" w:eastAsia="仿宋_GB2312" w:cs="仿宋_GB2312"/>
          <w:color w:val="000000" w:themeColor="text1"/>
          <w:sz w:val="32"/>
          <w:szCs w:val="32"/>
          <w:u w:val="none"/>
          <w14:textFill>
            <w14:solidFill>
              <w14:schemeClr w14:val="tx1"/>
            </w14:solidFill>
          </w14:textFill>
        </w:rPr>
        <w:t>等便利功能</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石林景区游客服务中心及智能化生态停车场建成投入使用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。办好办精“林海奇石”系列文旅活动。加大旅游宣传推介力度，推广</w:t>
      </w:r>
      <w:r>
        <w:rPr>
          <w:rFonts w:hint="eastAsia" w:ascii="仿宋_GB2312" w:hAnsi="仿宋_GB2312" w:eastAsia="仿宋_GB2312" w:cs="仿宋_GB2312"/>
          <w:color w:val="000000" w:themeColor="text1"/>
          <w:sz w:val="32"/>
          <w:szCs w:val="32"/>
          <w14:textFill>
            <w14:solidFill>
              <w14:schemeClr w14:val="tx1"/>
            </w14:solidFill>
          </w14:textFill>
        </w:rPr>
        <w:t>AR互动全景体验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等线上旅游宣传内容；深化与国内</w:t>
      </w:r>
      <w:r>
        <w:rPr>
          <w:rFonts w:hint="eastAsia" w:ascii="仿宋_GB2312" w:hAnsi="仿宋_GB2312" w:eastAsia="仿宋_GB2312" w:cs="仿宋_GB2312"/>
          <w:color w:val="000000" w:themeColor="text1"/>
          <w:sz w:val="32"/>
          <w:szCs w:val="32"/>
          <w14:textFill>
            <w14:solidFill>
              <w14:schemeClr w14:val="tx1"/>
            </w14:solidFill>
          </w14:textFill>
        </w:rPr>
        <w:t>各大旅行社和旅游企业的合作，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在各大商旅平台上线</w:t>
      </w:r>
      <w:r>
        <w:rPr>
          <w:rFonts w:hint="eastAsia" w:ascii="仿宋_GB2312" w:hAnsi="仿宋_GB2312" w:eastAsia="仿宋_GB2312" w:cs="仿宋_GB2312"/>
          <w:color w:val="000000" w:themeColor="text1"/>
          <w:sz w:val="32"/>
          <w:szCs w:val="32"/>
          <w14:textFill>
            <w14:solidFill>
              <w14:schemeClr w14:val="tx1"/>
            </w14:solidFill>
          </w14:textFill>
        </w:rPr>
        <w:t>定制旅游路线和旅游产品。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支持森工企业与国家开发银行深度合作。编制《县域旅游发展规划》，加快推进</w:t>
      </w:r>
      <w:r>
        <w:rPr>
          <w:rFonts w:hint="eastAsia" w:ascii="仿宋_GB2312" w:hAnsi="仿宋_GB2312" w:eastAsia="仿宋_GB2312" w:cs="仿宋_GB2312"/>
          <w:color w:val="000000" w:themeColor="text1"/>
          <w:sz w:val="32"/>
          <w:szCs w:val="32"/>
          <w14:textFill>
            <w14:solidFill>
              <w14:schemeClr w14:val="tx1"/>
            </w14:solidFill>
          </w14:textFill>
        </w:rPr>
        <w:t>“国家全域旅游示范区”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“国家级旅游度假区”</w:t>
      </w:r>
      <w:r>
        <w:rPr>
          <w:rFonts w:hint="eastAsia" w:ascii="仿宋_GB2312" w:hAnsi="仿宋_GB2312" w:eastAsia="仿宋_GB2312" w:cs="仿宋_GB2312"/>
          <w:color w:val="000000" w:themeColor="text1"/>
          <w:sz w:val="32"/>
          <w:szCs w:val="32"/>
          <w14:textFill>
            <w14:solidFill>
              <w14:schemeClr w14:val="tx1"/>
            </w14:solidFill>
          </w14:textFill>
        </w:rPr>
        <w:t>创建工作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壮大森林食品北药产业</w:t>
      </w:r>
      <w:r>
        <w:rPr>
          <w:rFonts w:hint="eastAsia" w:ascii="仿宋_GB2312" w:hAnsi="仿宋_GB2312" w:eastAsia="仿宋_GB2312" w:cs="仿宋_GB2312"/>
          <w:b/>
          <w:bCs/>
          <w:color w:val="000000" w:themeColor="text1"/>
          <w:sz w:val="32"/>
          <w:szCs w:val="32"/>
          <w14:textFill>
            <w14:solidFill>
              <w14:schemeClr w14:val="tx1"/>
            </w14:solidFill>
          </w14:textFill>
        </w:rPr>
        <w:t>规模。</w:t>
      </w:r>
      <w:r>
        <w:rPr>
          <w:rFonts w:hint="eastAsia" w:ascii="仿宋_GB2312" w:hAnsi="仿宋_GB2312" w:eastAsia="仿宋_GB2312" w:cs="仿宋_GB2312"/>
          <w:color w:val="000000" w:themeColor="text1"/>
          <w:sz w:val="32"/>
          <w:szCs w:val="32"/>
          <w14:textFill>
            <w14:solidFill>
              <w14:schemeClr w14:val="tx1"/>
            </w14:solidFill>
          </w14:textFill>
        </w:rPr>
        <w:t>优化调整种植结构，提升高质高效作物种植比例。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依托“中医药小镇”建设，整合全县北药资源，谋划开发中医药特色产业项目。</w:t>
      </w:r>
      <w:r>
        <w:rPr>
          <w:rFonts w:hint="eastAsia" w:ascii="仿宋_GB2312" w:hAnsi="仿宋_GB2312" w:eastAsia="仿宋_GB2312" w:cs="仿宋_GB2312"/>
          <w:color w:val="000000" w:themeColor="text1"/>
          <w:sz w:val="32"/>
          <w:szCs w:val="32"/>
          <w14:textFill>
            <w14:solidFill>
              <w14:schemeClr w14:val="tx1"/>
            </w14:solidFill>
          </w14:textFill>
        </w:rPr>
        <w:t>鼓励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紫辰宣、今生康健等北药种植企业</w:t>
      </w:r>
      <w:r>
        <w:rPr>
          <w:rFonts w:hint="eastAsia" w:ascii="仿宋_GB2312" w:hAnsi="仿宋_GB2312" w:eastAsia="仿宋_GB2312" w:cs="仿宋_GB2312"/>
          <w:color w:val="000000" w:themeColor="text1"/>
          <w:sz w:val="32"/>
          <w:szCs w:val="32"/>
          <w14:textFill>
            <w14:solidFill>
              <w14:schemeClr w14:val="tx1"/>
            </w14:solidFill>
          </w14:textFill>
        </w:rPr>
        <w:t>上马精深加工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支持九鑫集团不断发展壮大，实现产品质量和市场价值双提升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推进森林食品北药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产业由原料产地向</w:t>
      </w:r>
      <w:r>
        <w:rPr>
          <w:rFonts w:hint="eastAsia" w:ascii="仿宋_GB2312" w:hAnsi="仿宋_GB2312" w:eastAsia="仿宋_GB2312" w:cs="仿宋_GB2312"/>
          <w:color w:val="000000" w:themeColor="text1"/>
          <w:sz w:val="32"/>
          <w:szCs w:val="32"/>
          <w14:textFill>
            <w14:solidFill>
              <w14:schemeClr w14:val="tx1"/>
            </w14:solidFill>
          </w14:textFill>
        </w:rPr>
        <w:t>全产业链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基地转型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引进伊春森博森林食品有限公司，投资13720万元，在伊春经济开发区建设腐竹系列食品生产加工项目。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深入挖掘</w:t>
      </w:r>
      <w:r>
        <w:rPr>
          <w:rFonts w:hint="eastAsia" w:ascii="仿宋_GB2312" w:hAnsi="仿宋_GB2312" w:eastAsia="仿宋_GB2312" w:cs="仿宋_GB2312"/>
          <w:b/>
          <w:bCs/>
          <w:color w:val="000000" w:themeColor="text1"/>
          <w:sz w:val="32"/>
          <w:szCs w:val="32"/>
          <w14:textFill>
            <w14:solidFill>
              <w14:schemeClr w14:val="tx1"/>
            </w14:solidFill>
          </w14:textFill>
        </w:rPr>
        <w:t>北红玛瑙</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潜力</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推动北红玛瑙进入高端市场，拓展北红产品覆盖高端定制、文玩收藏、精品首饰、工艺制品等领域；</w:t>
      </w:r>
      <w:r>
        <w:rPr>
          <w:rFonts w:hint="eastAsia" w:ascii="仿宋_GB2312" w:hAnsi="仿宋_GB2312" w:eastAsia="仿宋_GB2312" w:cs="仿宋_GB2312"/>
          <w:color w:val="000000" w:themeColor="text1"/>
          <w:sz w:val="32"/>
          <w:szCs w:val="32"/>
          <w14:textFill>
            <w14:solidFill>
              <w14:schemeClr w14:val="tx1"/>
            </w14:solidFill>
          </w14:textFill>
        </w:rPr>
        <w:t>建立北红玛瑙官方线上推广平台，鼓励经营者探索厂店直营、电商旗舰店、直播带货等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线上线下</w:t>
      </w:r>
      <w:r>
        <w:rPr>
          <w:rFonts w:hint="eastAsia" w:ascii="仿宋_GB2312" w:hAnsi="仿宋_GB2312" w:eastAsia="仿宋_GB2312" w:cs="仿宋_GB2312"/>
          <w:color w:val="000000" w:themeColor="text1"/>
          <w:sz w:val="32"/>
          <w:szCs w:val="32"/>
          <w14:textFill>
            <w14:solidFill>
              <w14:schemeClr w14:val="tx1"/>
            </w14:solidFill>
          </w14:textFill>
        </w:rPr>
        <w:t>经营模式。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巩固拓展与</w:t>
      </w:r>
      <w:r>
        <w:rPr>
          <w:rFonts w:hint="eastAsia" w:ascii="仿宋_GB2312" w:hAnsi="仿宋_GB2312" w:eastAsia="仿宋_GB2312" w:cs="仿宋_GB2312"/>
          <w:color w:val="000000" w:themeColor="text1"/>
          <w:sz w:val="32"/>
          <w:szCs w:val="32"/>
          <w14:textFill>
            <w14:solidFill>
              <w14:schemeClr w14:val="tx1"/>
            </w14:solidFill>
          </w14:textFill>
        </w:rPr>
        <w:t>上海海派玉雕协会、上海珠宝玉石协会等资深协会和关联企业的战略合作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关系</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推动长期发展、合作共赢</w:t>
      </w:r>
      <w:r>
        <w:rPr>
          <w:rFonts w:hint="eastAsia" w:ascii="仿宋_GB2312" w:hAnsi="仿宋_GB2312" w:eastAsia="仿宋_GB2312" w:cs="仿宋_GB2312"/>
          <w:color w:val="000000" w:themeColor="text1"/>
          <w:sz w:val="32"/>
          <w:szCs w:val="32"/>
          <w14:textFill>
            <w14:solidFill>
              <w14:schemeClr w14:val="tx1"/>
            </w14:solidFill>
          </w14:textFill>
        </w:rPr>
        <w:t>。加强北红品牌保护，健全完善质量标准体系，强化行政监管和行业自律，建立诚信、健康、可持续的产业发展环境。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打好项目攻坚战。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实施专班推进、优化审批流程，落实“首席服务员”制度，全力推进已安排的5个重点项目建设，积极推进后续项目建设。抓好项目谋划储备，建立完善项目储备库，实行动态调整机制，保证中长期发展需要。</w:t>
      </w:r>
      <w:r>
        <w:rPr>
          <w:rFonts w:hint="eastAsia" w:ascii="仿宋_GB2312" w:hAnsi="仿宋_GB2312" w:eastAsia="仿宋_GB2312" w:cs="仿宋_GB2312"/>
          <w:b w:val="0"/>
          <w:bCs w:val="0"/>
          <w:color w:val="000000" w:themeColor="text1"/>
          <w:sz w:val="32"/>
          <w:szCs w:val="32"/>
          <w14:textFill>
            <w14:solidFill>
              <w14:schemeClr w14:val="tx1"/>
            </w14:solidFill>
          </w14:textFill>
        </w:rPr>
        <w:t>推进全员全方位招商，组建推进专班，落实工作任务，制定优惠政策，兑现奖励措施，</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努力引进一批资金实力雄厚、产业契合度高、带动支撑性好的大项目落户我县。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（四）坚持规划引领，推进新型宜居城镇建设</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统筹推进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城乡规划、建设、管理，</w:t>
      </w:r>
      <w:r>
        <w:rPr>
          <w:rFonts w:hint="eastAsia" w:ascii="仿宋_GB2312" w:hAnsi="仿宋_GB2312" w:eastAsia="仿宋_GB2312" w:cs="仿宋_GB2312"/>
          <w:color w:val="000000" w:themeColor="text1"/>
          <w:sz w:val="32"/>
          <w:szCs w:val="32"/>
          <w14:textFill>
            <w14:solidFill>
              <w14:schemeClr w14:val="tx1"/>
            </w14:solidFill>
          </w14:textFill>
        </w:rPr>
        <w:t>完善公共服务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基础</w:t>
      </w:r>
      <w:r>
        <w:rPr>
          <w:rFonts w:hint="eastAsia" w:ascii="仿宋_GB2312" w:hAnsi="仿宋_GB2312" w:eastAsia="仿宋_GB2312" w:cs="仿宋_GB2312"/>
          <w:color w:val="000000" w:themeColor="text1"/>
          <w:sz w:val="32"/>
          <w:szCs w:val="32"/>
          <w14:textFill>
            <w14:solidFill>
              <w14:schemeClr w14:val="tx1"/>
            </w14:solidFill>
          </w14:textFill>
        </w:rPr>
        <w:t>功能，强化城镇综合治理，优化宜居宜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游</w:t>
      </w:r>
      <w:r>
        <w:rPr>
          <w:rFonts w:hint="eastAsia" w:ascii="仿宋_GB2312" w:hAnsi="仿宋_GB2312" w:eastAsia="仿宋_GB2312" w:cs="仿宋_GB2312"/>
          <w:color w:val="000000" w:themeColor="text1"/>
          <w:sz w:val="32"/>
          <w:szCs w:val="32"/>
          <w14:textFill>
            <w14:solidFill>
              <w14:schemeClr w14:val="tx1"/>
            </w14:solidFill>
          </w14:textFill>
        </w:rPr>
        <w:t>宜业环境，提升城镇生态人文底蕴。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加强规划实施管理。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完成《汤旺县国土空间规划》编制，强化土地用途管制，加大监督执法力度，严厉打击违法违规占地行为，对批而未建的闲置土地启动回收程序。优化城镇空间布局，围</w:t>
      </w:r>
      <w:r>
        <w:rPr>
          <w:rFonts w:hint="eastAsia" w:ascii="仿宋_GB2312" w:eastAsia="仿宋_GB2312"/>
          <w:color w:val="000000" w:themeColor="text1"/>
          <w:sz w:val="32"/>
          <w:szCs w:val="32"/>
          <w14:textFill>
            <w14:solidFill>
              <w14:schemeClr w14:val="tx1"/>
            </w14:solidFill>
          </w14:textFill>
        </w:rPr>
        <w:t>绕“产城融合、景城融合”建设方向，</w:t>
      </w:r>
      <w:r>
        <w:rPr>
          <w:rFonts w:hint="eastAsia" w:ascii="仿宋_GB2312" w:eastAsia="仿宋_GB2312"/>
          <w:color w:val="000000" w:themeColor="text1"/>
          <w:sz w:val="32"/>
          <w:szCs w:val="32"/>
          <w:lang w:val="en-US" w:eastAsia="zh-CN"/>
          <w14:textFill>
            <w14:solidFill>
              <w14:schemeClr w14:val="tx1"/>
            </w14:solidFill>
          </w14:textFill>
        </w:rPr>
        <w:t>着力打造绿色、健康、时尚的“大美汤旺”。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加大基础设施建设力度。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积极对接国家、省级投资盘子，争取资金支持。</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完善城镇基础设施，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投入资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金5196万元，对老旧小区进行改造，完善供水供热、绿化亮化等设施，打造安全整洁的宜居环境；建设公共停车场10,000平方米，解决城镇停车难问题。提升城镇供热能力，完成2座40吨</w:t>
      </w:r>
      <w:r>
        <w:rPr>
          <w:rFonts w:hint="eastAsia" w:ascii="仿宋_GB2312" w:hAnsi="仿宋_GB2312" w:eastAsia="仿宋_GB2312" w:cs="仿宋_GB2312"/>
          <w:color w:val="000000" w:themeColor="text1"/>
          <w:sz w:val="32"/>
          <w:szCs w:val="32"/>
          <w14:textFill>
            <w14:solidFill>
              <w14:schemeClr w14:val="tx1"/>
            </w14:solidFill>
          </w14:textFill>
        </w:rPr>
        <w:t>热水锅炉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14:textFill>
            <w14:solidFill>
              <w14:schemeClr w14:val="tx1"/>
            </w14:solidFill>
          </w14:textFill>
        </w:rPr>
        <w:t>配套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设施建设，投资300万元新建换热站1座</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优化城镇立体空间布局，引进黑龙江省广联通信公司投资10,800万元，建设智能化微管廊186公里。启动汤旺河至乌伊岭公路提标升级工程和铁路道口立交桥工程，争取年内开工建设。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提升城镇治理水平。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加大城管执法力度，持续推进城区“清障行动”。落实“门前三包”责任，制定分级管理措施，督促商户合法有序经营。制定完善物业管理制度，推动物业服务规范化，更换居民小区、主要街路的露天大垃圾箱。</w:t>
      </w:r>
      <w:r>
        <w:rPr>
          <w:rFonts w:hint="eastAsia" w:ascii="仿宋_GB2312" w:hAnsi="仿宋_GB2312" w:eastAsia="仿宋_GB2312" w:cs="仿宋_GB2312"/>
          <w:color w:val="000000" w:themeColor="text1"/>
          <w:sz w:val="32"/>
          <w:szCs w:val="32"/>
          <w14:textFill>
            <w14:solidFill>
              <w14:schemeClr w14:val="tx1"/>
            </w14:solidFill>
          </w14:textFill>
        </w:rPr>
        <w:t>强化公德教育，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提倡公序良俗，</w:t>
      </w:r>
      <w:r>
        <w:rPr>
          <w:rFonts w:hint="eastAsia" w:ascii="仿宋_GB2312" w:hAnsi="仿宋_GB2312" w:eastAsia="仿宋_GB2312" w:cs="仿宋_GB2312"/>
          <w:color w:val="000000" w:themeColor="text1"/>
          <w:sz w:val="32"/>
          <w:szCs w:val="32"/>
          <w14:textFill>
            <w14:solidFill>
              <w14:schemeClr w14:val="tx1"/>
            </w14:solidFill>
          </w14:textFill>
        </w:rPr>
        <w:t>曝光违法行为，不断增强居民的文明意识。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加大民生工程实施力度</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提高人民群众生活质量</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坚持以人民为中心的发展理念，加大投入力度，聚焦民生所需，补齐短板弱项，让人民群众共享改革发展成果，满足人民群众对“更好生活”的期盼。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扎实抓好稳就业促创业工作。</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落好落实援企稳岗政策措施，开展就业创业服务，计划开展职业技能培训530人次。出台创业帮扶政策，鼓励群众投身特色产业，开展电子商务县创建工作，推进电子商务平台建设，拓展线上、线下经营业态，千方百计增加就业渠道，确保城镇零就业家庭动态清零。完善保障农民工工资支付长效机制，</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有效预防和解决拖欠工资问题</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全面提升民生保障水平。</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巩固拓展脱贫攻坚成果，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精准落实教育、住房、医疗、社保等兜底保障政策，积极探索适宜扶贫项目，</w:t>
      </w:r>
      <w:r>
        <w:rPr>
          <w:rFonts w:hint="eastAsia" w:ascii="仿宋_GB2312" w:hAnsi="仿宋_GB2312" w:eastAsia="仿宋_GB2312" w:cs="仿宋_GB2312"/>
          <w:color w:val="000000" w:themeColor="text1"/>
          <w:sz w:val="32"/>
          <w:szCs w:val="32"/>
          <w14:textFill>
            <w14:solidFill>
              <w14:schemeClr w14:val="tx1"/>
            </w14:solidFill>
          </w14:textFill>
        </w:rPr>
        <w:t>建立持续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稳定</w:t>
      </w:r>
      <w:r>
        <w:rPr>
          <w:rFonts w:hint="eastAsia" w:ascii="仿宋_GB2312" w:hAnsi="仿宋_GB2312" w:eastAsia="仿宋_GB2312" w:cs="仿宋_GB2312"/>
          <w:color w:val="000000" w:themeColor="text1"/>
          <w:sz w:val="32"/>
          <w:szCs w:val="32"/>
          <w14:textFill>
            <w14:solidFill>
              <w14:schemeClr w14:val="tx1"/>
            </w14:solidFill>
          </w14:textFill>
        </w:rPr>
        <w:t>的增收渠道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杜绝出现返贫和新发生贫困问题。</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加大困难群体保障力度，严格实行低保动态管理机制，扩大保障范围，落实保障标准，确保民生保障资金按时足额发放。加大公共租赁住房管理力度，调整完善准入退出标准和租金标准，满足困难群体住房需求。完善残疾儿童康复救助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为机关事业单位在职人员进行一次免费体检，住房公积金标准提升</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至每人每月300元。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32"/>
          <w:szCs w:val="32"/>
          <w:lang w:val="en-US" w:eastAsia="zh-CN"/>
          <w14:textFill>
            <w14:solidFill>
              <w14:schemeClr w14:val="tx1"/>
            </w14:solidFill>
          </w14:textFill>
        </w:rPr>
        <w:t>统筹推进社会各项事业发展。</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努力办好人民满意教育，优化中小学教师配备，引进急缺教师人才，补齐学科短板，提高教育教学水平；实施教师“县管校聘”管理体制，落实绩效工资制度，奖励优秀教师、学生；</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对学校用房进行维修改造，改善教育教学环境</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提升基层公共卫生服务能力，投资1,770万元，实施县级疾控中心能力建设项目，建设实验室及办公用房2,450平方米并购置相关设备，扎实推进“健康促进县”创建工作。加大文体基础设施建设力度，投资500万元，新建1座11人制公共足球场，为县第二中学建设体育操场；改造青少年活动中心和图书馆，满足居民文化健身需求。根据疫情防控形势，适时举办首届全民运动会。</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开展食品药品领域专项整治，保障人民群众饮食用药安全。扎实推进双拥工作，落实优抚安置政策，做好退役军人服务保障工作。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32"/>
          <w:szCs w:val="32"/>
          <w:lang w:val="en-US" w:eastAsia="zh-CN"/>
          <w14:textFill>
            <w14:solidFill>
              <w14:schemeClr w14:val="tx1"/>
            </w14:solidFill>
          </w14:textFill>
        </w:rPr>
        <w:t>保持社会安全稳定。</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加快建设“平安汤旺”，依托“雪亮工程”，建立完善综治网络体系；积极争取资金1,142万元，为县公安局建设业务用房；深入开展</w:t>
      </w:r>
      <w:r>
        <w:rPr>
          <w:rFonts w:hint="eastAsia" w:ascii="仿宋_GB2312" w:hAnsi="仿宋_GB2312" w:eastAsia="仿宋_GB2312" w:cs="仿宋_GB2312"/>
          <w:b w:val="0"/>
          <w:bCs/>
          <w:color w:val="000000" w:themeColor="text1"/>
          <w:sz w:val="32"/>
          <w:szCs w:val="32"/>
          <w14:textFill>
            <w14:solidFill>
              <w14:schemeClr w14:val="tx1"/>
            </w14:solidFill>
          </w14:textFill>
        </w:rPr>
        <w:t>扫黑除恶</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六清六建</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行动，</w:t>
      </w:r>
      <w:r>
        <w:rPr>
          <w:rFonts w:hint="eastAsia" w:ascii="仿宋_GB2312" w:hAnsi="仿宋_GB2312" w:eastAsia="仿宋_GB2312" w:cs="仿宋_GB2312"/>
          <w:b w:val="0"/>
          <w:bCs/>
          <w:color w:val="000000" w:themeColor="text1"/>
          <w:sz w:val="32"/>
          <w:szCs w:val="32"/>
          <w14:textFill>
            <w14:solidFill>
              <w14:schemeClr w14:val="tx1"/>
            </w14:solidFill>
          </w14:textFill>
        </w:rPr>
        <w:t>严厉打击各类违法犯罪。</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扎实推进</w:t>
      </w:r>
      <w:r>
        <w:rPr>
          <w:rFonts w:hint="eastAsia" w:ascii="仿宋_GB2312" w:hAnsi="Calibri" w:eastAsia="仿宋_GB2312" w:cs="仿宋_GB2312"/>
          <w:b w:val="0"/>
          <w:bCs/>
          <w:color w:val="000000" w:themeColor="text1"/>
          <w:kern w:val="0"/>
          <w:sz w:val="32"/>
          <w:szCs w:val="32"/>
          <w:lang w:val="en-US" w:eastAsia="zh-CN"/>
          <w14:textFill>
            <w14:solidFill>
              <w14:schemeClr w14:val="tx1"/>
            </w14:solidFill>
          </w14:textFill>
        </w:rPr>
        <w:t>“安全生产整治三年行动”，</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杜绝重特大事故发生。持续推进风险隐患排查治理，健全完善全域风险防控机制。抓好信访矛盾化解疏导工作，畅通规范群众诉求表达渠道，保障群众正当合法权益。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32"/>
          <w:szCs w:val="32"/>
          <w:lang w:val="en-US" w:eastAsia="zh-CN"/>
          <w14:textFill>
            <w14:solidFill>
              <w14:schemeClr w14:val="tx1"/>
            </w14:solidFill>
          </w14:textFill>
        </w:rPr>
        <w:t>（六）加强政府自身建设，提升治理能力和服务水平。</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坚持以党的政治建设为统领，着力构建权责清晰、协同高效、依法行政的政府治理体系，努力建设人民满意的服务型政府。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坚持依法行政。</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深化“法治汤旺”建设，深入贯彻实施民法典，推进机构、职能、权责、程序法定化。严格执行重大行政决策法定程序，落实重大项目合同、重要规范性文件合法性审核制度。全面深化政务公开，</w:t>
      </w:r>
      <w:r>
        <w:rPr>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自觉接受人大依法监督、政协民主监督和社会公众全面监督</w:t>
      </w: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全面推行行政执法“三项制度”</w:t>
      </w:r>
      <w:r>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坚持依法统计</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启动“八五”普法工作，提升全民法治观念。</w:t>
      </w:r>
      <w:r>
        <w:rPr>
          <w:rFonts w:hint="eastAsia" w:ascii="仿宋_GB2312" w:hAnsi="仿宋_GB2312" w:eastAsia="仿宋_GB2312" w:cs="仿宋_GB2312"/>
          <w:b w:val="0"/>
          <w:bCs/>
          <w:color w:val="000000" w:themeColor="text1"/>
          <w:sz w:val="32"/>
          <w:szCs w:val="32"/>
          <w14:textFill>
            <w14:solidFill>
              <w14:schemeClr w14:val="tx1"/>
            </w14:solidFill>
          </w14:textFill>
        </w:rPr>
        <w:t>加强</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诚信汤旺</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建设，</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坚持新官必须理旧账，切实履行政府承诺。</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坚持转变作风。</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巩固深化“不忘初心，牢记使命”主题教育成果，</w:t>
      </w:r>
      <w:r>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深入落实“五细”要求，</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坚决杜绝形式主义、官僚主义。把解决实际问题的能力作为衡量干部的重要标准，切实提高“七种能力”，增强“八种本领”，</w:t>
      </w:r>
      <w:r>
        <w:rPr>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建立目标明确、责任清晰、衔接紧密的</w:t>
      </w:r>
      <w:r>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政府</w:t>
      </w:r>
      <w:r>
        <w:rPr>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工作执行体系</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深入开展“四最”工作，坚持到最偏远的地方、最困难的家庭、最破旧的小区、最难解决的信访问题中去，脚踏实地解决群众问题。建立工作容错纠错机制，积极引导机关工作人员勇于担当、真抓实干。</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全面落实改革任务。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完成事业单位落编选聘工作，抓好省管县财政体制运行，加快森防管理体制改革进程。深入推进“放管服”改革，推进</w:t>
      </w:r>
      <w:r>
        <w:rPr>
          <w:rFonts w:hint="eastAsia" w:ascii="仿宋_GB2312" w:hAnsi="仿宋_GB2312" w:eastAsia="仿宋_GB2312" w:cs="仿宋_GB2312"/>
          <w:b w:val="0"/>
          <w:bCs/>
          <w:color w:val="000000" w:themeColor="text1"/>
          <w:sz w:val="32"/>
          <w:szCs w:val="32"/>
          <w14:textFill>
            <w14:solidFill>
              <w14:schemeClr w14:val="tx1"/>
            </w14:solidFill>
          </w14:textFill>
        </w:rPr>
        <w:t>强镇扩权</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和事权下放，优化政务服务流程，完善县、镇两级政务服务大厅，加快一体化在线政务平台建设，推行“一网、一门、一次”服务，健全完善“好差评”制度，努力实现“办事不求人”目标。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坚持廉洁从政。</w:t>
      </w:r>
      <w:r>
        <w:rPr>
          <w:rFonts w:hint="eastAsia" w:ascii="仿宋_GB2312" w:hAnsi="仿宋_GB2312" w:eastAsia="仿宋_GB2312" w:cs="仿宋_GB2312"/>
          <w:b w:val="0"/>
          <w:bCs/>
          <w:color w:val="000000" w:themeColor="text1"/>
          <w:sz w:val="32"/>
          <w:szCs w:val="32"/>
          <w14:textFill>
            <w14:solidFill>
              <w14:schemeClr w14:val="tx1"/>
            </w14:solidFill>
          </w14:textFill>
        </w:rPr>
        <w:t>始终把纪律规矩挺在前面，</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坚决落实“一岗双责”</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着力整治群众身边</w:t>
      </w:r>
      <w:r>
        <w:rPr>
          <w:rFonts w:hint="eastAsia" w:ascii="仿宋_GB2312" w:hAnsi="仿宋_GB2312" w:eastAsia="仿宋_GB2312" w:cs="仿宋_GB2312"/>
          <w:b w:val="0"/>
          <w:i w:val="0"/>
          <w:caps w:val="0"/>
          <w:color w:val="000000" w:themeColor="text1"/>
          <w:spacing w:val="0"/>
          <w:sz w:val="32"/>
          <w:szCs w:val="32"/>
          <w:shd w:val="clear" w:fill="FFFFFF"/>
          <w:lang w:val="en-US" w:eastAsia="zh-CN"/>
          <w14:textFill>
            <w14:solidFill>
              <w14:schemeClr w14:val="tx1"/>
            </w14:solidFill>
          </w14:textFill>
        </w:rPr>
        <w:t>的</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腐败和不正之风，</w:t>
      </w:r>
      <w:r>
        <w:rPr>
          <w:rFonts w:hint="eastAsia" w:ascii="仿宋_GB2312" w:hAnsi="仿宋_GB2312" w:eastAsia="仿宋_GB2312" w:cs="仿宋_GB2312"/>
          <w:b w:val="0"/>
          <w:bCs/>
          <w:color w:val="000000" w:themeColor="text1"/>
          <w:sz w:val="32"/>
          <w:szCs w:val="32"/>
          <w14:textFill>
            <w14:solidFill>
              <w14:schemeClr w14:val="tx1"/>
            </w14:solidFill>
          </w14:textFill>
        </w:rPr>
        <w:t>持之以恒推进正风肃纪。</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构建“亲清”政商关系，加大对国有资产、国有资源、工程招投标、政府采购等关键领域、关键岗位的审计监督力度，用制度规范和制约权力运行。</w:t>
      </w:r>
      <w:r>
        <w:rPr>
          <w:rFonts w:hint="eastAsia" w:ascii="仿宋_GB2312" w:hAnsi="仿宋_GB2312" w:eastAsia="仿宋_GB2312" w:cs="仿宋_GB2312"/>
          <w:b w:val="0"/>
          <w:bCs/>
          <w:color w:val="000000" w:themeColor="text1"/>
          <w:sz w:val="32"/>
          <w:szCs w:val="32"/>
          <w14:textFill>
            <w14:solidFill>
              <w14:schemeClr w14:val="tx1"/>
            </w14:solidFill>
          </w14:textFill>
        </w:rPr>
        <w:t>厉行勤俭节约，树立过“紧日子”思想，</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完善部门预算制，</w:t>
      </w:r>
      <w:r>
        <w:rPr>
          <w:rFonts w:hint="eastAsia" w:ascii="仿宋_GB2312" w:hAnsi="仿宋_GB2312" w:eastAsia="仿宋_GB2312" w:cs="仿宋_GB2312"/>
          <w:b w:val="0"/>
          <w:bCs/>
          <w:color w:val="000000" w:themeColor="text1"/>
          <w:sz w:val="32"/>
          <w:szCs w:val="32"/>
          <w14:textFill>
            <w14:solidFill>
              <w14:schemeClr w14:val="tx1"/>
            </w14:solidFill>
          </w14:textFill>
        </w:rPr>
        <w:t>大力压缩行政支出，“三公经费”只减不增。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位代表，同志们，“十四五”的大幕已经拉开，新的目标已经确定，新的征程已经铺展，让我们紧密团结在以习近平同志为核心的党中央周围，在市委、市政府和县委的坚强领导下，不忘初心、牢记使命，坚定信心、锐意进取，全力推动汤旺县高质量转型发展，</w:t>
      </w:r>
      <w:r>
        <w:rPr>
          <w:rFonts w:hint="eastAsia" w:ascii="仿宋_GB2312" w:hAnsi="仿宋_GB2312" w:eastAsia="仿宋_GB2312" w:cs="仿宋_GB2312"/>
          <w:color w:val="000000" w:themeColor="text1"/>
          <w:sz w:val="32"/>
          <w:szCs w:val="32"/>
          <w14:textFill>
            <w14:solidFill>
              <w14:schemeClr w14:val="tx1"/>
            </w14:solidFill>
          </w14:textFill>
        </w:rPr>
        <w:t>为实现全县人民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对美好生活的向往</w:t>
      </w:r>
      <w:r>
        <w:rPr>
          <w:rFonts w:hint="eastAsia" w:ascii="仿宋_GB2312" w:hAnsi="仿宋_GB2312" w:eastAsia="仿宋_GB2312" w:cs="仿宋_GB2312"/>
          <w:color w:val="000000" w:themeColor="text1"/>
          <w:sz w:val="32"/>
          <w:szCs w:val="32"/>
          <w14:textFill>
            <w14:solidFill>
              <w14:schemeClr w14:val="tx1"/>
            </w14:solidFill>
          </w14:textFill>
        </w:rPr>
        <w:t>而努力奋斗！</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A7308"/>
    <w:rsid w:val="001F3746"/>
    <w:rsid w:val="00454636"/>
    <w:rsid w:val="004611E9"/>
    <w:rsid w:val="004768C6"/>
    <w:rsid w:val="0055334E"/>
    <w:rsid w:val="00683B6A"/>
    <w:rsid w:val="007B3B47"/>
    <w:rsid w:val="00A11407"/>
    <w:rsid w:val="00F43C1E"/>
    <w:rsid w:val="04206190"/>
    <w:rsid w:val="042951A4"/>
    <w:rsid w:val="05AE7576"/>
    <w:rsid w:val="06E35FAE"/>
    <w:rsid w:val="07B71A80"/>
    <w:rsid w:val="091166E6"/>
    <w:rsid w:val="0A277ED8"/>
    <w:rsid w:val="0AD3295B"/>
    <w:rsid w:val="0B270308"/>
    <w:rsid w:val="0BF50EA8"/>
    <w:rsid w:val="0D432E70"/>
    <w:rsid w:val="0DB37BCE"/>
    <w:rsid w:val="0E136095"/>
    <w:rsid w:val="0FCD5855"/>
    <w:rsid w:val="108A7719"/>
    <w:rsid w:val="10FD2B88"/>
    <w:rsid w:val="12FF0AC4"/>
    <w:rsid w:val="13496626"/>
    <w:rsid w:val="13D0725C"/>
    <w:rsid w:val="14010293"/>
    <w:rsid w:val="14814A68"/>
    <w:rsid w:val="16480253"/>
    <w:rsid w:val="19365522"/>
    <w:rsid w:val="1952574C"/>
    <w:rsid w:val="1B581601"/>
    <w:rsid w:val="1BD75C86"/>
    <w:rsid w:val="1C1A241D"/>
    <w:rsid w:val="1CCC6663"/>
    <w:rsid w:val="1D8E2707"/>
    <w:rsid w:val="1DE8645A"/>
    <w:rsid w:val="1DF6449A"/>
    <w:rsid w:val="1FFC21B0"/>
    <w:rsid w:val="231064D6"/>
    <w:rsid w:val="232433CA"/>
    <w:rsid w:val="234E1EAD"/>
    <w:rsid w:val="2443638B"/>
    <w:rsid w:val="27AD49EB"/>
    <w:rsid w:val="29B85F7F"/>
    <w:rsid w:val="2ACB1161"/>
    <w:rsid w:val="2EFA792B"/>
    <w:rsid w:val="32187E3F"/>
    <w:rsid w:val="36A530E4"/>
    <w:rsid w:val="388F1420"/>
    <w:rsid w:val="38C5722F"/>
    <w:rsid w:val="392C366C"/>
    <w:rsid w:val="3B35432A"/>
    <w:rsid w:val="3C154DDF"/>
    <w:rsid w:val="3F4E3131"/>
    <w:rsid w:val="40D04C8F"/>
    <w:rsid w:val="41790544"/>
    <w:rsid w:val="44FB0E14"/>
    <w:rsid w:val="455B6BBF"/>
    <w:rsid w:val="45F26178"/>
    <w:rsid w:val="47265287"/>
    <w:rsid w:val="47272806"/>
    <w:rsid w:val="475415FE"/>
    <w:rsid w:val="48BA7E9A"/>
    <w:rsid w:val="48E079A9"/>
    <w:rsid w:val="49AA7308"/>
    <w:rsid w:val="4A134D43"/>
    <w:rsid w:val="4A1A4042"/>
    <w:rsid w:val="4B1D44CB"/>
    <w:rsid w:val="4EFB46B0"/>
    <w:rsid w:val="4F3476C8"/>
    <w:rsid w:val="4FA541B3"/>
    <w:rsid w:val="50AB0444"/>
    <w:rsid w:val="516A19DE"/>
    <w:rsid w:val="51CA1222"/>
    <w:rsid w:val="52651D3A"/>
    <w:rsid w:val="53885840"/>
    <w:rsid w:val="54742DAB"/>
    <w:rsid w:val="5B984480"/>
    <w:rsid w:val="5E846600"/>
    <w:rsid w:val="5F76555D"/>
    <w:rsid w:val="62244B28"/>
    <w:rsid w:val="64321625"/>
    <w:rsid w:val="66F728BB"/>
    <w:rsid w:val="684D2BFC"/>
    <w:rsid w:val="69085A20"/>
    <w:rsid w:val="6B7A0ABE"/>
    <w:rsid w:val="6B907380"/>
    <w:rsid w:val="6DCE3E95"/>
    <w:rsid w:val="6EA239A1"/>
    <w:rsid w:val="6FBC7B67"/>
    <w:rsid w:val="6FDD21FC"/>
    <w:rsid w:val="70B53B53"/>
    <w:rsid w:val="710344D3"/>
    <w:rsid w:val="73EA4FEA"/>
    <w:rsid w:val="74555F75"/>
    <w:rsid w:val="759879C4"/>
    <w:rsid w:val="778D5890"/>
    <w:rsid w:val="77A64356"/>
    <w:rsid w:val="785B3C02"/>
    <w:rsid w:val="78C45F31"/>
    <w:rsid w:val="7955431E"/>
    <w:rsid w:val="7A1206EF"/>
    <w:rsid w:val="7B606BE4"/>
    <w:rsid w:val="7CAE3C9F"/>
    <w:rsid w:val="7D1470A4"/>
    <w:rsid w:val="7D3D138F"/>
    <w:rsid w:val="7F125474"/>
    <w:rsid w:val="7FA729A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0"/>
    <w:qFormat/>
    <w:uiPriority w:val="99"/>
    <w:pPr>
      <w:jc w:val="center"/>
      <w:outlineLvl w:val="0"/>
    </w:pPr>
    <w:rPr>
      <w:rFonts w:ascii="Arial" w:hAnsi="Arial"/>
      <w:b/>
      <w:sz w:val="32"/>
    </w:rPr>
  </w:style>
  <w:style w:type="paragraph" w:styleId="3">
    <w:name w:val="Body Text"/>
    <w:basedOn w:val="1"/>
    <w:unhideWhenUsed/>
    <w:qFormat/>
    <w:uiPriority w:val="99"/>
    <w:pPr>
      <w:spacing w:after="120"/>
    </w:p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0">
    <w:name w:val="Title Char"/>
    <w:basedOn w:val="8"/>
    <w:link w:val="2"/>
    <w:qFormat/>
    <w:uiPriority w:val="10"/>
    <w:rPr>
      <w:rFonts w:asciiTheme="majorHAnsi" w:hAnsiTheme="majorHAnsi" w:cstheme="majorBidi"/>
      <w:b/>
      <w:bCs/>
      <w:sz w:val="32"/>
      <w:szCs w:val="32"/>
    </w:rPr>
  </w:style>
  <w:style w:type="character" w:customStyle="1" w:styleId="11">
    <w:name w:val="Footer Char"/>
    <w:basedOn w:val="8"/>
    <w:link w:val="4"/>
    <w:semiHidden/>
    <w:qFormat/>
    <w:uiPriority w:val="99"/>
    <w:rPr>
      <w:sz w:val="18"/>
      <w:szCs w:val="18"/>
    </w:rPr>
  </w:style>
  <w:style w:type="character" w:customStyle="1" w:styleId="12">
    <w:name w:val="Header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520</Words>
  <Characters>2966</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2020-11-09T00:55:00Z</dcterms:created>
  <dc:creator>快烂掉的木头</dc:creator>
  <cp:lastModifiedBy>快烂掉的木头</cp:lastModifiedBy>
  <cp:lastPrinted>2021-02-21T06:16:00Z</cp:lastPrinted>
  <dcterms:modified xsi:type="dcterms:W3CDTF">2021-02-22T08:35:00Z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