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A31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政府工作报告</w:t>
      </w:r>
    </w:p>
    <w:p w14:paraId="2036D44D">
      <w:pPr>
        <w:spacing w:line="560" w:lineRule="exact"/>
        <w:rPr>
          <w:rFonts w:hint="eastAsia" w:ascii="仿宋_GB2312" w:hAnsi="仿宋_GB2312" w:cs="仿宋_GB2312"/>
          <w:spacing w:val="0"/>
          <w:highlight w:val="none"/>
        </w:rPr>
      </w:pPr>
    </w:p>
    <w:p w14:paraId="76243FF0">
      <w:pPr>
        <w:spacing w:line="560" w:lineRule="exact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各位代表：</w:t>
      </w:r>
    </w:p>
    <w:p w14:paraId="67B5DAFD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现在，我代表县人民政府向大会报告工作，请予审议，并请各位政协委员提出意见。</w:t>
      </w:r>
    </w:p>
    <w:p w14:paraId="469EFF0A">
      <w:pPr>
        <w:spacing w:line="560" w:lineRule="exact"/>
        <w:ind w:firstLine="632" w:firstLineChars="200"/>
        <w:rPr>
          <w:rFonts w:hint="eastAsia" w:ascii="黑体" w:hAnsi="黑体" w:eastAsia="黑体" w:cs="黑体"/>
          <w:spacing w:val="0"/>
          <w:highlight w:val="none"/>
        </w:rPr>
      </w:pPr>
      <w:r>
        <w:rPr>
          <w:rFonts w:hint="eastAsia" w:ascii="黑体" w:hAnsi="黑体" w:eastAsia="黑体" w:cs="黑体"/>
          <w:spacing w:val="0"/>
          <w:highlight w:val="none"/>
        </w:rPr>
        <w:t>一、2024年工作回顾</w:t>
      </w:r>
    </w:p>
    <w:p w14:paraId="5CAB0862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过去一年，在县委的坚强领导下，在县人大、县政协的监督支持下，我们牢牢把握高质量发展这个首要任务，大力实施“生态立县、旅游强县、富民兴县”战略，持续在优生态、稳增长、防风险、惠民生上攻坚突破，较好完成了全年目标任务，经济社会高质量发展迈出坚实步伐。预计地区生产总值增长3%，规模以上工业增加值增长2%，固定资产投资增长18%，社会消费品零售总额增长4%，一般公共预算收入增长19.7%，外贸进出口总额增长47.7%，城乡居民人均可支配收入增长高于经济增长，主要经济指标位居全市第一方阵。</w:t>
      </w:r>
    </w:p>
    <w:p w14:paraId="286D8B11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highlight w:val="none"/>
        </w:rPr>
        <w:t>一是生态优势更加彰显。</w:t>
      </w:r>
      <w:r>
        <w:rPr>
          <w:rFonts w:hint="eastAsia" w:ascii="仿宋_GB2312" w:hAnsi="仿宋_GB2312" w:cs="仿宋_GB2312"/>
          <w:spacing w:val="0"/>
          <w:sz w:val="32"/>
          <w:highlight w:val="none"/>
        </w:rPr>
        <w:t>深化蓝天、碧水、净土保卫战，实施了汤旺河干流治理、水源地规范化建设、排水管网改造、供热</w:t>
      </w:r>
      <w:r>
        <w:rPr>
          <w:rFonts w:hint="eastAsia" w:ascii="仿宋_GB2312" w:hAnsi="仿宋_GB2312" w:cs="仿宋_GB2312"/>
          <w:spacing w:val="0"/>
          <w:highlight w:val="none"/>
        </w:rPr>
        <w:t>超低排放等生态项目，秸秆综合利用率达99.5%，城镇空气质量优良天数达98%，国省控断面水质稳定达标。加强生态保护修复，实行“林长+河湖长+田长”联动机制，有序推进国家重点生态功能区、自然保护地、历史遗留矿山治理等重点工程，完成了乌伊岭湿地生态系统观测站建设前期工作，建立了建设用地土壤污染风险管控和修复名录，划定生态保护红线1172平方公里。开展国土绿化行动，更新造林0.35万亩，补植补造1.7万亩，完成林业有害生物防治21万亩，连续21年未发生重特大森林火灾。中央环保督察反馈的10个问题，省第三督察组移交的13个问题，省市河湖长制考核反馈的5个问题，均取得阶段性整改成效。生态文明示范区创建工作有力推进。</w:t>
      </w:r>
    </w:p>
    <w:p w14:paraId="0D7CE17F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二是产业体系更加</w:t>
      </w: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  <w:lang w:val="en-US" w:eastAsia="zh-CN"/>
        </w:rPr>
        <w:t>健全</w:t>
      </w: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。</w:t>
      </w:r>
      <w:r>
        <w:rPr>
          <w:rFonts w:hint="eastAsia" w:ascii="仿宋_GB2312" w:hAnsi="仿宋_GB2312" w:cs="仿宋_GB2312"/>
          <w:spacing w:val="0"/>
          <w:highlight w:val="none"/>
        </w:rPr>
        <w:t>文旅产业提档升级。启动编制全域旅游发展规划，举办了“梦幻避暑”消夏节、“赶山季”秋货大集和2024冰雪欢乐季系列活动。建设了文旅综合体一期和全民健身中心，梯次推进小樽、等风来、蜜殖基地等民宿建设，年轮广场多功能改造完成，“汤旺欢乐巷”集贸夜市建成开业，全年接待游客、旅游收入分别同比增长73%、111%。农林经济提速增效。落实玉米、大豆政策补贴3300余万元，完成播种11.9万亩、总产2.01万吨。加快建设林果、林药、林菌、林畜等四大特色产业，争取510余万元，补助中药材规模化种植基地和中药材良种繁育基地，中药材种植面积达18.9万亩。木耳、生猪、蜂蜜、冷水鱼（林蛙）产量稳步增长。鑫旺公司荣获“黑龙江省质量标杆”称号，“林蛙油”“野生蓝莓原浆”“有机蓝莓果干”入选“九珍十八品”品牌名录。新型业态提质扩面。支持阿廷河风电场技术改造，九鑫集团、宝林木业等规上企业产值稳中有进。落实以旧换新等扩内需政策，鼓励商户开展促消费活动，推出直播电商助企行动，拉动消费增长10倍以上。</w:t>
      </w:r>
    </w:p>
    <w:p w14:paraId="0AE38235">
      <w:pP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三是发展后劲更加</w:t>
      </w: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  <w:lang w:val="en-US" w:eastAsia="zh-CN"/>
        </w:rPr>
        <w:t>强劲</w:t>
      </w: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。</w:t>
      </w:r>
      <w:r>
        <w:rPr>
          <w:rFonts w:hint="eastAsia" w:ascii="仿宋_GB2312" w:hAnsi="仿宋_GB2312" w:cs="仿宋_GB2312"/>
          <w:spacing w:val="0"/>
          <w:highlight w:val="none"/>
        </w:rPr>
        <w:t>实施项目大会战。谋划储备入库项目310个。全年14个省市重点项目全部开复工，完成投资2</w:t>
      </w:r>
      <w:r>
        <w:rPr>
          <w:rFonts w:ascii="仿宋_GB2312" w:hAnsi="仿宋_GB2312" w:cs="仿宋_GB2312"/>
          <w:spacing w:val="0"/>
          <w:highlight w:val="none"/>
        </w:rPr>
        <w:t>.</w:t>
      </w:r>
      <w:r>
        <w:rPr>
          <w:rFonts w:hint="eastAsia" w:ascii="仿宋_GB2312" w:hAnsi="仿宋_GB2312" w:cs="仿宋_GB2312"/>
          <w:spacing w:val="0"/>
          <w:highlight w:val="none"/>
        </w:rPr>
        <w:t>4</w:t>
      </w:r>
      <w:r>
        <w:rPr>
          <w:rFonts w:ascii="仿宋_GB2312" w:hAnsi="仿宋_GB2312" w:cs="仿宋_GB2312"/>
          <w:spacing w:val="0"/>
          <w:highlight w:val="none"/>
        </w:rPr>
        <w:t>5</w:t>
      </w:r>
      <w:r>
        <w:rPr>
          <w:rFonts w:hint="eastAsia" w:ascii="仿宋_GB2312" w:hAnsi="仿宋_GB2312" w:cs="仿宋_GB2312"/>
          <w:spacing w:val="0"/>
          <w:highlight w:val="none"/>
        </w:rPr>
        <w:t>亿元，完成率达到116.5%。实施大招商行动。推行“一把手”带头招商、行业协会亲联招商和产业专班靶向招商，开展招商活动95次，达成意向协议8个、框架协议12个，成功签约项目6个，签约总额为2.88亿元。燃气建设、中石油加油站、农林大市场等重点招商项目启动建设，崧海酒业、润明木业建成投产。</w:t>
      </w:r>
    </w:p>
    <w:p w14:paraId="5506E027">
      <w:pPr>
        <w:autoSpaceDE w:val="0"/>
        <w:autoSpaceDN w:val="0"/>
        <w:adjustRightIn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四是城乡功能更加完善。</w:t>
      </w:r>
      <w:r>
        <w:rPr>
          <w:rFonts w:hint="eastAsia" w:ascii="仿宋_GB2312" w:hAnsi="仿宋_GB2312" w:cs="仿宋_GB2312"/>
          <w:spacing w:val="0"/>
          <w:highlight w:val="none"/>
        </w:rPr>
        <w:t>群众出行畅通便利。完成林海路、向阳路、群慧路等主干道品质提升，新建改建小区巷道6公里80余条，提档升级国防路沿线道口14个，改造升级桥梁7座，开通了两镇、两村及景区公交班线。基础设施配套完备。实施了污水处理厂、垃圾处理厂提标建设，改造雨污合流管网20.8公里、供水老旧管网6.5公里、供热老旧管网5.2公里，新建污水管网1.5公里，建成1座污水处理站、2座污水提升泵站、3座雨水泵站，公共实训基地建设基本完成。改造装修公租房83套、人才公寓73套，改造乌伊岭镇老旧小区居民楼10栋，新建停车场5个、新增泊位730个，修缮公厕10处。城乡颜值更加靓丽。新建和提升绿地1.8万余平方米，更新升级路灯393盏，铺装人行道10万平方米。安装住宅楼“棉门帘”1673个、更换单元门295个，保障了群众温暖过冬。美丽乡村建设稳步推进。建成旅游公路30.7公里，改造永青村道路1.4</w:t>
      </w:r>
      <w:r>
        <w:rPr>
          <w:rFonts w:hint="eastAsia" w:ascii="仿宋_GB2312" w:hAnsi="仿宋_GB2312" w:cs="仿宋_GB2312"/>
          <w:spacing w:val="0"/>
          <w:sz w:val="32"/>
          <w:highlight w:val="none"/>
        </w:rPr>
        <w:t>公里、边沟2.8公里</w:t>
      </w:r>
      <w:r>
        <w:rPr>
          <w:rFonts w:hint="eastAsia" w:ascii="仿宋_GB2312" w:hAnsi="仿宋_GB2312" w:cs="仿宋_GB2312"/>
          <w:spacing w:val="0"/>
          <w:sz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pacing w:val="0"/>
          <w:sz w:val="32"/>
          <w:highlight w:val="none"/>
          <w:lang w:val="en-US" w:eastAsia="zh-CN"/>
        </w:rPr>
        <w:t>安装</w:t>
      </w:r>
      <w:r>
        <w:rPr>
          <w:rFonts w:hint="eastAsia" w:ascii="仿宋_GB2312" w:hAnsi="仿宋_GB2312" w:cs="仿宋_GB2312"/>
          <w:spacing w:val="0"/>
          <w:sz w:val="32"/>
          <w:highlight w:val="none"/>
        </w:rPr>
        <w:t>铁艺栅栏400米，和美宜居乡村成色更足。</w:t>
      </w:r>
    </w:p>
    <w:p w14:paraId="03D21B27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五是民生福祉更加殷实。</w:t>
      </w:r>
      <w:r>
        <w:rPr>
          <w:rFonts w:hint="eastAsia" w:ascii="仿宋_GB2312" w:hAnsi="仿宋_GB2312" w:cs="仿宋_GB2312"/>
          <w:spacing w:val="0"/>
          <w:highlight w:val="none"/>
        </w:rPr>
        <w:t>加大资金投入力度，民生支出占一般公共预算支出超过87%。落实就业优先政策，举办招聘活动35场，新增就业692人，开展职业技能培训349人次,公益性岗位安置509人，城镇调查失业率控制在3%以内。完善社会保障体系，发放各类社会救助保障金2632万元，实现城镇低保标准十八连增。困难群体参保率达100%，全市排名第一。实施教育扩优提质行动，4所中小学的薄弱改造和能力提升项目投入使用，县幼儿园获评省级一类幼儿园，第二中学获评伊春市义务教育优质学校，中考省重点录取率83.6%，教育教学质量位居全市前列。巩固卫生健康县成果，与哈医大附属第一、第二、第四医院签约协作，达成核磁、CT、生化检查等项目检验结果互认，并开展对口帮扶5次。县失能养老院投入运营，新增床位300张。加快发展文体事业，建成社会足球场和公共体育场，开展了“林海奇石杯”乒乓球、“平安杯”篮球等全民健身活动，举办群众性文化活动87场次，群众文化生活丰富多彩。</w:t>
      </w:r>
    </w:p>
    <w:p w14:paraId="2E68589F">
      <w:pP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六是发展活力更加充沛。</w:t>
      </w:r>
      <w:r>
        <w:rPr>
          <w:rFonts w:hint="eastAsia" w:ascii="仿宋_GB2312" w:hAnsi="仿宋_GB2312" w:cs="仿宋_GB2312"/>
          <w:spacing w:val="0"/>
          <w:highlight w:val="none"/>
        </w:rPr>
        <w:t>扎实推进生态、经济、民生等10个领域85项重点改革任务。加快数字政府建设，19个高频事项窗口、58项高频事项与省平台完全对接，动态认领政务服务1521项。实施县医院薪酬制度改革，启动紧密型县域医共体建设。持续优化营商环境，组织预算单位完成“合同履约”平台注册工作，建成“高效办成一件事”专业窗口4个，政务服务事项网上可办率100%，“最多跑一次”实现率99.14%，成功申报全国首批营商环境监测站。</w:t>
      </w:r>
    </w:p>
    <w:p w14:paraId="741CA11A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七是本质安全更加牢固。</w:t>
      </w:r>
      <w:r>
        <w:rPr>
          <w:rFonts w:hint="eastAsia" w:ascii="仿宋_GB2312" w:hAnsi="仿宋_GB2312" w:cs="仿宋_GB2312"/>
          <w:spacing w:val="0"/>
          <w:highlight w:val="none"/>
        </w:rPr>
        <w:t>深入开展安全生产治本攻坚三年行动，全面排查整治消防、交通、建筑、燃气、人员密集场所等重点领域风险隐患，扎实推进防火防汛、应对低温冰冻灾害、防范山体滑坡等工作，整改问题隐患562项，完成建筑体检4408栋，全年未发生安全生产事故。加强平安汤旺建设，强化社会面治安防控和公共场所安全管理，常态化开展扫黑除恶，加强禁毒、反邪教、反电诈治理，依法打击各类违法犯罪活动，侦破各类案件21件，刑事案件发案数同比下降36.6%；刑事案件破案率66.7%，居全市第一。践行新时代“枫桥经验”，圆满完成全国“两会”、国庆等重要时间节点维稳任务。严格债务限额管理，积极防范化解金融领域风险隐患。</w:t>
      </w:r>
    </w:p>
    <w:p w14:paraId="095D5E61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八是自身建设更加</w:t>
      </w: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  <w:lang w:val="en-US" w:eastAsia="zh-CN"/>
        </w:rPr>
        <w:t>过硬</w:t>
      </w: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。</w:t>
      </w:r>
      <w:r>
        <w:rPr>
          <w:rFonts w:hint="eastAsia" w:ascii="仿宋_GB2312" w:hAnsi="仿宋_GB2312" w:cs="仿宋_GB2312"/>
          <w:spacing w:val="0"/>
          <w:highlight w:val="none"/>
        </w:rPr>
        <w:t>始终把政治建设摆在首位，深入开展党纪学习教育，不断深化能力作风建设，一体推进政府系统“群腐”集中整治和“躺平式干部”专项整治，自觉接受各方监督，办结人大代表建议37件、政协委员提案39件，受理“12345”热线诉求1857件。严格落实中央八项规定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及其</w:t>
      </w:r>
      <w:r>
        <w:rPr>
          <w:rFonts w:hint="eastAsia" w:ascii="仿宋_GB2312" w:hAnsi="仿宋_GB2312" w:cs="仿宋_GB2312"/>
          <w:spacing w:val="0"/>
          <w:highlight w:val="none"/>
        </w:rPr>
        <w:t>实施细则，坚持过紧日子，兜牢“三保</w:t>
      </w:r>
      <w:r>
        <w:rPr>
          <w:rFonts w:ascii="仿宋_GB2312" w:hAnsi="仿宋_GB2312" w:cs="仿宋_GB2312"/>
          <w:spacing w:val="0"/>
          <w:highlight w:val="none"/>
        </w:rPr>
        <w:t>”</w:t>
      </w:r>
      <w:r>
        <w:rPr>
          <w:rFonts w:hint="eastAsia" w:ascii="仿宋_GB2312" w:hAnsi="仿宋_GB2312" w:cs="仿宋_GB2312"/>
          <w:spacing w:val="0"/>
          <w:highlight w:val="none"/>
        </w:rPr>
        <w:t>底线。</w:t>
      </w:r>
    </w:p>
    <w:p w14:paraId="5DFA737F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与此同时，退役军人、审计统计、民族宗教、消防救援等工作取得新成效，妇女、儿童、老龄、残疾人等各项事业取得新进展。</w:t>
      </w:r>
    </w:p>
    <w:p w14:paraId="6C2DBB2E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各位代表！这些成绩的取得，根本在于习近平新时代中国特色社会主义思想的科学指引，得益于县委的坚强领导，得益于人大政协的监督支持，得益于全县干部群众的团结奋斗！在此，我代表县人民政府，向全县人民，向人大代表、政协委员，以及所有关心支持汤旺建设发展的各界人士，表示衷心感谢并致以崇高敬意！</w:t>
      </w:r>
    </w:p>
    <w:p w14:paraId="3172D111">
      <w:pPr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过去的一年，成绩固然可喜，但是我们也应清醒地看到，当前经济社会发展还面临不少的困难和挑战，比如说，经济高质量转型亟待深化，民营经济体量偏小，科技创新能力相对较弱。地方财政底子薄，历史遗留问题多，民生领域仍有不少短板弱项。政府系统能力作风仍需持续改进，职能转变还需不断深化，基层治理、城市管理的精细化水平有待进一步提高。对此，我们将强化责任担当，以行之有效的举措破题解题，用实干实绩回馈全县人民。</w:t>
      </w:r>
    </w:p>
    <w:p w14:paraId="1CCB4EAC">
      <w:pPr>
        <w:spacing w:line="560" w:lineRule="exact"/>
        <w:ind w:firstLine="632" w:firstLineChars="200"/>
        <w:rPr>
          <w:rFonts w:hint="eastAsia" w:ascii="黑体" w:hAnsi="黑体" w:eastAsia="黑体" w:cs="黑体"/>
          <w:spacing w:val="0"/>
          <w:highlight w:val="none"/>
        </w:rPr>
      </w:pPr>
      <w:r>
        <w:rPr>
          <w:rFonts w:hint="eastAsia" w:ascii="黑体" w:hAnsi="黑体" w:eastAsia="黑体" w:cs="黑体"/>
          <w:spacing w:val="0"/>
          <w:highlight w:val="none"/>
        </w:rPr>
        <w:t>二、2025年主要工作安排</w:t>
      </w:r>
    </w:p>
    <w:p w14:paraId="3E95D9A0">
      <w:pPr>
        <w:spacing w:line="560" w:lineRule="exact"/>
        <w:ind w:firstLine="632" w:firstLineChars="200"/>
        <w:rPr>
          <w:rFonts w:hint="eastAsia" w:ascii="黑体" w:hAnsi="黑体" w:eastAsia="黑体" w:cs="黑体"/>
          <w:spacing w:val="0"/>
          <w:sz w:val="32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今年是“十四五”规划收官之年，做好政府工作至关重要。政府工作的总体要求是：</w:t>
      </w:r>
      <w:r>
        <w:rPr>
          <w:rFonts w:hint="eastAsia" w:ascii="黑体" w:hAnsi="黑体" w:eastAsia="黑体" w:cs="黑体"/>
          <w:spacing w:val="0"/>
          <w:highlight w:val="none"/>
        </w:rPr>
        <w:t>以习近平新时代中国特色社会主义思想为指导，全面贯彻党的二十大和二十届二中、三中全会精神，认</w:t>
      </w:r>
      <w:r>
        <w:rPr>
          <w:rFonts w:hint="eastAsia" w:ascii="黑体" w:hAnsi="黑体" w:eastAsia="黑体" w:cs="黑体"/>
          <w:spacing w:val="0"/>
          <w:sz w:val="32"/>
          <w:highlight w:val="none"/>
        </w:rPr>
        <w:t>真落实中央经济工作会议精神和省市县委决策部署，坚持稳中求进工作总基调，完整准确全面贯彻新发展理念，积极服务和融入构建新发展格局，围绕“生态立县、旅游强县、富民兴县”发展定位，</w:t>
      </w:r>
      <w:r>
        <w:rPr>
          <w:rFonts w:hint="eastAsia" w:ascii="黑体" w:hAnsi="黑体" w:eastAsia="黑体" w:cs="黑体"/>
          <w:spacing w:val="0"/>
          <w:sz w:val="32"/>
          <w:highlight w:val="none"/>
          <w:lang w:val="en-US" w:eastAsia="zh-CN"/>
        </w:rPr>
        <w:t>聚焦</w:t>
      </w:r>
      <w:r>
        <w:rPr>
          <w:rFonts w:hint="eastAsia" w:ascii="黑体" w:hAnsi="黑体" w:eastAsia="黑体" w:cs="黑体"/>
          <w:spacing w:val="0"/>
          <w:sz w:val="32"/>
          <w:highlight w:val="none"/>
        </w:rPr>
        <w:t>市委“两区四地五城”建设</w:t>
      </w:r>
      <w:r>
        <w:rPr>
          <w:rFonts w:hint="eastAsia" w:ascii="黑体" w:hAnsi="黑体" w:eastAsia="黑体" w:cs="黑体"/>
          <w:spacing w:val="0"/>
          <w:sz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pacing w:val="0"/>
          <w:sz w:val="32"/>
          <w:highlight w:val="none"/>
        </w:rPr>
        <w:t>“双融合”</w:t>
      </w:r>
      <w:r>
        <w:rPr>
          <w:rFonts w:hint="eastAsia" w:ascii="黑体" w:hAnsi="黑体" w:eastAsia="黑体" w:cs="黑体"/>
          <w:spacing w:val="0"/>
          <w:sz w:val="32"/>
          <w:highlight w:val="none"/>
          <w:lang w:val="en-US" w:eastAsia="zh-CN"/>
        </w:rPr>
        <w:t>促进</w:t>
      </w:r>
      <w:r>
        <w:rPr>
          <w:rFonts w:hint="eastAsia" w:ascii="黑体" w:hAnsi="黑体" w:eastAsia="黑体" w:cs="黑体"/>
          <w:spacing w:val="0"/>
          <w:sz w:val="32"/>
          <w:highlight w:val="none"/>
        </w:rPr>
        <w:t>“双振兴”</w:t>
      </w:r>
      <w:r>
        <w:rPr>
          <w:rFonts w:hint="eastAsia" w:ascii="黑体" w:hAnsi="黑体" w:eastAsia="黑体" w:cs="黑体"/>
          <w:spacing w:val="0"/>
          <w:sz w:val="32"/>
          <w:highlight w:val="none"/>
          <w:lang w:val="en-US" w:eastAsia="zh-CN"/>
        </w:rPr>
        <w:t>重点任务</w:t>
      </w:r>
      <w:r>
        <w:rPr>
          <w:rFonts w:hint="eastAsia" w:ascii="黑体" w:hAnsi="黑体" w:eastAsia="黑体" w:cs="黑体"/>
          <w:spacing w:val="0"/>
          <w:sz w:val="32"/>
          <w:highlight w:val="none"/>
        </w:rPr>
        <w:t>，突出生态优先、绿色发展，扎实推动高质量发展，大力发展新质生产力，稳经济促增长，抓改革激活力，强保障惠民生，防风险保安全，高质量完成“十四五”规划目标任务，为实现“十五五”良好开局打牢基础，切实答好新时代新征程“林区三问”新答卷。</w:t>
      </w:r>
    </w:p>
    <w:p w14:paraId="15CAB15C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spacing w:val="0"/>
          <w:highlight w:val="none"/>
        </w:rPr>
        <w:t>主要预期目标是：</w:t>
      </w:r>
      <w:r>
        <w:rPr>
          <w:rFonts w:hint="eastAsia" w:ascii="仿宋_GB2312" w:hAnsi="仿宋_GB2312" w:cs="仿宋_GB2312"/>
          <w:spacing w:val="0"/>
          <w:highlight w:val="none"/>
        </w:rPr>
        <w:t>实现地区生产总值增长5%左右，规模以上工业增加值增长5%左右，固定资产投资增长7%左右，一般公共预算收入增长6%左右，社会消费品零售总额增长5.5%左右，外贸进出口总额增长8%左右，城乡居民收入增长高于经济增长。</w:t>
      </w:r>
    </w:p>
    <w:p w14:paraId="1C02CEEC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围绕上述目标，我们将重点抓好七个方面工作：</w:t>
      </w:r>
    </w:p>
    <w:p w14:paraId="601B9722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（一）坚决筑牢北方生态安全屏障。</w:t>
      </w:r>
      <w:r>
        <w:rPr>
          <w:rFonts w:hint="eastAsia" w:ascii="仿宋_GB2312" w:hAnsi="仿宋_GB2312" w:cs="仿宋_GB2312"/>
          <w:spacing w:val="0"/>
          <w:highlight w:val="none"/>
        </w:rPr>
        <w:t>锚定生态文明建设示范区和绿色龙江先行区建设，协同推进降碳减污、扩绿增长，走好生态优先、绿色发展之路，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以生态“含绿量”加快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打造美丽汤旺。</w:t>
      </w:r>
      <w:r>
        <w:rPr>
          <w:rFonts w:hint="eastAsia" w:ascii="仿宋_GB2312" w:hAnsi="仿宋_GB2312" w:cs="仿宋_GB2312"/>
          <w:b/>
          <w:bCs/>
          <w:spacing w:val="0"/>
          <w:highlight w:val="none"/>
        </w:rPr>
        <w:t>加强生态保护修复。</w:t>
      </w:r>
      <w:r>
        <w:rPr>
          <w:rFonts w:hint="eastAsia" w:ascii="仿宋_GB2312" w:hAnsi="仿宋_GB2312" w:cs="仿宋_GB2312"/>
          <w:spacing w:val="0"/>
          <w:highlight w:val="none"/>
        </w:rPr>
        <w:t>统筹推进自然保护地、生态功能区、白桦采石场等一体化治理，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完成</w:t>
      </w:r>
      <w:r>
        <w:rPr>
          <w:rFonts w:hint="eastAsia" w:ascii="仿宋_GB2312" w:hAnsi="仿宋_GB2312" w:cs="仿宋_GB2312"/>
          <w:spacing w:val="0"/>
          <w:highlight w:val="none"/>
        </w:rPr>
        <w:t>乌伊岭湿地生态系统观测研究站建设。高效融合林长制、河湖长制、田长制，开展国土绿化行动，加强生态巡查、综合监管和森防工作，依法查处侵占林地、毁林开垦等非法行为，力争连续22年不发生重特大森林火灾。切实抓好中央及省环保督察反馈问题整改，不断厚实“绿色家底”。</w:t>
      </w:r>
    </w:p>
    <w:p w14:paraId="1D81DAAE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标本兼治推进源头治理。</w:t>
      </w:r>
      <w:r>
        <w:rPr>
          <w:rFonts w:hint="eastAsia" w:ascii="仿宋_GB2312" w:hAnsi="仿宋_GB2312" w:cs="仿宋_GB2312"/>
          <w:spacing w:val="0"/>
          <w:highlight w:val="none"/>
        </w:rPr>
        <w:t xml:space="preserve">深入打好蓝天保卫战，抓好燃煤、交通、企业等重点领域节能减排，秸秆综合利用率93%以上，空气质量优良天数只增不减。深入打好碧水保卫战，加强“四乱”治理和排污监管，确保省考断面、饮用水源地水质优良达标。深入打好净土保卫战，抓好固废处置和消纳场地建设，强化农业面源污染防治和废弃物资源化利用，加快推进“无废城市细胞”建设。  </w:t>
      </w:r>
    </w:p>
    <w:p w14:paraId="19AF0B32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积极推动绿色低碳转型。</w:t>
      </w:r>
      <w:r>
        <w:rPr>
          <w:rFonts w:hint="eastAsia" w:ascii="仿宋_GB2312" w:hAnsi="仿宋_GB2312" w:cs="仿宋_GB2312"/>
          <w:spacing w:val="0"/>
          <w:highlight w:val="none"/>
        </w:rPr>
        <w:t>因地制宜发展风电、水电、光伏等新能源产业，支持华宇电力技改，谋划推进氢储能调峰电站、风力发电、新能源+农业等招商项目。新建电动车充电设施5处，推动管道天然气项目尽早投产通气。持续跟进“资源—资产—资本—财富”碳汇项目，推动生态产品价值有效转化。</w:t>
      </w:r>
    </w:p>
    <w:p w14:paraId="601CCE1E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32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（二）加快构建现代化生态产业体系。</w:t>
      </w:r>
      <w:r>
        <w:rPr>
          <w:rFonts w:hint="eastAsia" w:ascii="仿宋_GB2312" w:hAnsi="仿宋_GB2312" w:cs="仿宋_GB2312"/>
          <w:spacing w:val="0"/>
          <w:highlight w:val="none"/>
        </w:rPr>
        <w:t>坚持产业绿色转型方向，推动生态旅游向“优”发力、农林经济向“群”布局、多元业态向“新”延展</w:t>
      </w:r>
      <w:r>
        <w:rPr>
          <w:rFonts w:hint="eastAsia" w:ascii="仿宋_GB2312" w:hAnsi="仿宋_GB2312" w:cs="仿宋_GB2312"/>
          <w:spacing w:val="0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以发展“含金量”加快打造实力汤旺。</w:t>
      </w:r>
    </w:p>
    <w:p w14:paraId="0F0FEA0F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做好全域全季旅游。</w:t>
      </w:r>
      <w:r>
        <w:rPr>
          <w:rFonts w:hint="eastAsia" w:ascii="仿宋_GB2312" w:hAnsi="仿宋_GB2312" w:cs="仿宋_GB2312"/>
          <w:spacing w:val="0"/>
          <w:highlight w:val="none"/>
        </w:rPr>
        <w:t>锚定中国生态康养旅游目的地建设，创新产品供给，打造森林康养、避暑旅居、赏冰乐雪等特色产品，培育森林康养游、户外露营游、家庭亲子游、研学体验游等精品线路。大力发展“旅游+”项目，抓好特色民宿建设，举办避暑消夏、夜市文化和五花山观赏等文旅活动，全方位构建全域全季文旅新格局。实施旅游质量提升行动，加快滨水体育公园、文旅综合体二期、景区基础设施等项目建设，持续落实“1+5”大护游机制，加强旅游市场全链条监管，开展多维度宣传营销，提升“5A+天然氧吧”品牌知名度，全力推动旅游收入、旅客接待量实现双增长。</w:t>
      </w:r>
    </w:p>
    <w:p w14:paraId="7092F91E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做大特色农林经济。</w:t>
      </w:r>
      <w:r>
        <w:rPr>
          <w:rFonts w:hint="eastAsia" w:ascii="仿宋_GB2312" w:hAnsi="仿宋_GB2312" w:cs="仿宋_GB2312"/>
          <w:spacing w:val="0"/>
          <w:highlight w:val="none"/>
        </w:rPr>
        <w:t>扛牢耕地保护和粮食安全政治责任，持续稳面积、提单产，确保全县粮食作物播种面积、粮食产量稳中有进。实施乡村小微企业创新发展项目，推行“龙头企业+合作社+农户林户”模式，扶持家庭农场、合作社有序发展。因地制宜发展林下经济和种植养殖等特色产业，做强农林产品、森林食品等优势产业，推动食用菌、冷水鱼、林蛙和小菜园、采摘园等项目标准化、规模化发展。</w:t>
      </w:r>
    </w:p>
    <w:p w14:paraId="516BF287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做强优势发展业态。</w:t>
      </w:r>
      <w:r>
        <w:rPr>
          <w:rFonts w:hint="eastAsia" w:ascii="仿宋_GB2312" w:hAnsi="仿宋_GB2312" w:cs="仿宋_GB2312"/>
          <w:spacing w:val="0"/>
          <w:highlight w:val="none"/>
        </w:rPr>
        <w:t>深耕生物经济，用好省中药材种苗基地建设资金，抓好良种繁育基地、规模化种植基地建设，确保中药材种植面积稳步增长。加快崧海酒业中药材种植加工和九鑫桦树汁生产车间建设，支持今生康健、鑫龙药材等龙头企业，打造繁育种植、药食同源全产业链基地，鼓励企业与高校院所合作攻关，推进饮片、药膳、药灸等精深加工，做好刺五加、白鲜皮地理标志申报工作。推动冰雪旅游、冰雪研学、冰雪文体融合发展，办好“伊春·汤旺森林冰雪欢乐季”系列活动，打造冰雪经济新高地。推进北红玛瑙、北沉香精深加工，放大“中国玛瑙之乡”品牌影响力。</w:t>
      </w:r>
    </w:p>
    <w:p w14:paraId="3543FDFC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（三）厚实县域经济振兴发展潜力。</w:t>
      </w:r>
      <w:r>
        <w:rPr>
          <w:rFonts w:hint="eastAsia" w:ascii="仿宋_GB2312" w:hAnsi="仿宋_GB2312" w:cs="仿宋_GB2312"/>
          <w:spacing w:val="0"/>
          <w:highlight w:val="none"/>
        </w:rPr>
        <w:t>强化“项目为王”理念，扩投资</w:t>
      </w:r>
      <w:r>
        <w:rPr>
          <w:rFonts w:hint="eastAsia" w:ascii="仿宋_GB2312" w:hAnsi="仿宋_GB2312" w:cs="仿宋_GB2312"/>
          <w:spacing w:val="0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pacing w:val="0"/>
          <w:highlight w:val="none"/>
        </w:rPr>
        <w:t>稳增长</w:t>
      </w:r>
      <w:r>
        <w:rPr>
          <w:rFonts w:hint="eastAsia" w:ascii="仿宋_GB2312" w:hAnsi="仿宋_GB2312" w:cs="仿宋_GB2312"/>
          <w:spacing w:val="0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蓄积汤旺高质量发展后劲，以项目“含新量”加快打造产业汤旺。</w:t>
      </w:r>
    </w:p>
    <w:p w14:paraId="0C737754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做好谋划争取。</w:t>
      </w:r>
      <w:r>
        <w:rPr>
          <w:rFonts w:hint="eastAsia" w:ascii="仿宋_GB2312" w:hAnsi="仿宋_GB2312" w:cs="仿宋_GB2312"/>
          <w:spacing w:val="0"/>
          <w:highlight w:val="none"/>
        </w:rPr>
        <w:t>聚焦中央预算内资金、超长期特别国债支持方向，抢抓“两新”“两重”等政策机遇，深度谋划一批牵动性大、撬动性强、综合效益好的大项目好项目，高质量建设项目库，严把质量关和成熟度，做好服务保障工作，形成“储备一批、争取一批、建设一批”的梯次推进格局。</w:t>
      </w:r>
    </w:p>
    <w:p w14:paraId="44B58FA2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扩大有效投资。</w:t>
      </w:r>
      <w:r>
        <w:rPr>
          <w:rFonts w:hint="eastAsia" w:ascii="仿宋_GB2312" w:hAnsi="仿宋_GB2312" w:cs="仿宋_GB2312"/>
          <w:spacing w:val="0"/>
          <w:highlight w:val="none"/>
        </w:rPr>
        <w:t>深入实施项目建设大会战，落实“三个包保”“六个督促”和重大项目协调推进机制，做好可研设计、限时审批、绿色通道等全要素服务，优先保障重点项目用地、用能、用工需求。以“四率”为目标，强化项目调度和“红黄蓝”预警，及时研究解决难点堵点问题，推动项目快开工、快建设、快投产、快达效。17个省市重点项目全部开复工，开复工率达到100％</w:t>
      </w:r>
    </w:p>
    <w:p w14:paraId="04540396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提高招商质效。</w:t>
      </w:r>
      <w:r>
        <w:rPr>
          <w:rFonts w:hint="eastAsia" w:ascii="仿宋_GB2312" w:hAnsi="仿宋_GB2312" w:cs="仿宋_GB2312"/>
          <w:spacing w:val="0"/>
          <w:highlight w:val="none"/>
        </w:rPr>
        <w:t>实施招商引资攻坚行动，突出数量质量并重、签约落地齐抓，加大招商项目策划和要素保障，采取走出去+请进来的方式，深化主要领导示范带动、部门单位和专班协调联动的招商机制，提高招商引资成功率。深化招商项目“一月一晾晒”和“点对点”跟踪服务，推动招引项目早签约、快落地、见成效，力争全年新签约项目实现持续增长。</w:t>
      </w:r>
    </w:p>
    <w:p w14:paraId="7280230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32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（四）加快打造宜居宜业魅力汤旺。</w:t>
      </w:r>
      <w:r>
        <w:rPr>
          <w:rFonts w:hint="eastAsia" w:ascii="仿宋_GB2312" w:hAnsi="仿宋_GB2312" w:cs="仿宋_GB2312"/>
          <w:spacing w:val="0"/>
          <w:highlight w:val="none"/>
        </w:rPr>
        <w:t>统筹乡村振兴、林场振兴，推动城乡融合、地企融合，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着力建设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功能完善、管理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有序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、宜居宜业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镇，以管理“含巧量”加快打造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魅力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汤旺。</w:t>
      </w:r>
    </w:p>
    <w:p w14:paraId="574DC15A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b/>
          <w:bCs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全面完善城乡规划。</w:t>
      </w:r>
      <w:r>
        <w:rPr>
          <w:rFonts w:hint="eastAsia" w:ascii="仿宋_GB2312" w:hAnsi="仿宋_GB2312" w:cs="仿宋_GB2312"/>
          <w:spacing w:val="0"/>
          <w:highlight w:val="none"/>
        </w:rPr>
        <w:t>高质量抓好“十五五”规划编制工作，同步做好全县发展规划、空间规划、专项规划的配套衔接。强化县镇村三级联动，加快中心城区详细规划编制，不断优化“一带一园三区”空间结构布局。加快两镇国土空间规划编制，推进两村实用性村庄规划成果审批及入库备案工作，为城乡建设提供有力支撑。</w:t>
      </w:r>
    </w:p>
    <w:p w14:paraId="5CFF8A76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持续推进城市更新。</w:t>
      </w:r>
      <w:r>
        <w:rPr>
          <w:rFonts w:hint="eastAsia" w:ascii="仿宋_GB2312" w:hAnsi="仿宋_GB2312" w:cs="仿宋_GB2312"/>
          <w:spacing w:val="0"/>
          <w:highlight w:val="none"/>
        </w:rPr>
        <w:t>加快推进雨污合流管网改造、公共体育场二期、中石油加油站、伊旺加油站、燃气管道入户、农林大市场、智能公交站点等项目，完善通村公路及通场公路建设，启动乌伊岭至富强屯旅游公路和汤林线主要道口平改立项目，实施东风大街、城镇外环路、小区巷道的品质提升。翻新银街两侧商户楼外立面，完善停车场，因地制宜建设口袋公园。</w:t>
      </w:r>
    </w:p>
    <w:p w14:paraId="526FB8DE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强化城镇精细管理。</w:t>
      </w:r>
      <w:r>
        <w:rPr>
          <w:rFonts w:hint="eastAsia" w:ascii="仿宋_GB2312" w:hAnsi="仿宋_GB2312" w:cs="仿宋_GB2312"/>
          <w:spacing w:val="0"/>
          <w:highlight w:val="none"/>
        </w:rPr>
        <w:t>深化爱国卫生运动，实施城镇面貌、园林绿化、户外广告、健身设施等提升工程，依法整治乱搭乱建等“十乱”行为，强化公交车、出租车管理，不断规范市场经营秩序，持续巩固治理成效，推动城镇管理向精细化转变。加强农村人居环境常态化综合整治，抓好农村厕所、垃圾处理、生活污水“三大革命”，提升城乡宜居水平。</w:t>
      </w:r>
    </w:p>
    <w:p w14:paraId="1A39DAAF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32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（五）推进全面深化改革优环境。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全面深化重点领域和关键环节改革，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断激发经济发展内生动力，以环境“含优量”加快打造创新汤旺。</w:t>
      </w:r>
    </w:p>
    <w:p w14:paraId="50906352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深化改革激活力。</w:t>
      </w:r>
      <w:r>
        <w:rPr>
          <w:rFonts w:hint="eastAsia" w:ascii="仿宋_GB2312" w:hAnsi="仿宋_GB2312" w:cs="仿宋_GB2312"/>
          <w:spacing w:val="0"/>
          <w:highlight w:val="none"/>
        </w:rPr>
        <w:t>深化“县管校聘”及教育评价改革，推进中小学思政课一体化创新，构建教育数字化发展新体系。深化公立医院薪酬制度改革，加强“医保、医疗、医药”统筹，强化与广州、哈尔滨等地医院的对口医疗协作，推进分级诊疗和医防融合。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推动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完成</w:t>
      </w:r>
      <w:r>
        <w:rPr>
          <w:rFonts w:hint="eastAsia" w:ascii="仿宋_GB2312" w:hAnsi="仿宋_GB2312" w:cs="仿宋_GB2312"/>
          <w:spacing w:val="0"/>
          <w:highlight w:val="none"/>
        </w:rPr>
        <w:t>物业服务市场化改革。有效推进经济转型、生态文明、文化旅游和金融财政等领域体制机制改革，形成一批具有汤旺特色的实践成果。</w:t>
      </w:r>
    </w:p>
    <w:p w14:paraId="4E3F2F75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优化环境增动力。</w:t>
      </w:r>
      <w:r>
        <w:rPr>
          <w:rFonts w:hint="eastAsia" w:ascii="仿宋_GB2312" w:hAnsi="仿宋_GB2312" w:cs="仿宋_GB2312"/>
          <w:spacing w:val="0"/>
          <w:highlight w:val="none"/>
        </w:rPr>
        <w:t>深化“放管服”改革，持续推进“一件事一次办”“一枚印章管审批”“一张清单管行政许可”，推动办事实现线下“只进一门”、线上“一网通办”。加快数字政府建设，做好“12345”等平台日常运行管理，保持“网上可办”覆盖率达到95%以上。强化“六必访”“包抓联”服务，持续落实省20条和市民营经济50条等惠企政策，帮助企业纾困解难。</w:t>
      </w:r>
    </w:p>
    <w:p w14:paraId="690C8035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扩大消费挖潜力。</w:t>
      </w:r>
      <w:r>
        <w:rPr>
          <w:rFonts w:hint="eastAsia" w:ascii="仿宋_GB2312" w:hAnsi="仿宋_GB2312" w:cs="仿宋_GB2312"/>
          <w:spacing w:val="0"/>
          <w:highlight w:val="none"/>
        </w:rPr>
        <w:t>支持九鑫等企业科技攻关，提高核心产品精深加工能力，推动更多产品进入“九珍十八品”品牌名录，不断提升产品市场竞争力。打好促消费“组合拳”，用好“两新”“两重”工具箱，规范发展农贸市场、定点大集和夜市经济，引导电子商务、快递物流等新业态加快发展，积极培育首发经济、银发经济、氧吧经济、低空经济。</w:t>
      </w:r>
    </w:p>
    <w:p w14:paraId="15BE965B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32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（六）加大保障和改善民生力度。</w:t>
      </w:r>
      <w:r>
        <w:rPr>
          <w:rFonts w:hint="eastAsia" w:ascii="仿宋_GB2312" w:hAnsi="仿宋_GB2312" w:cs="仿宋_GB2312"/>
          <w:spacing w:val="0"/>
          <w:highlight w:val="none"/>
        </w:rPr>
        <w:t>坚持民生为大、民生为要，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拿出更多财力办好民生实事，不断增强群众的获得感，</w:t>
      </w:r>
      <w:r>
        <w:rPr>
          <w:rFonts w:hint="eastAsia" w:ascii="华文仿宋" w:hAnsi="华文仿宋" w:eastAsia="华文仿宋" w:cs="华文仿宋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以民生“含情量”</w:t>
      </w:r>
      <w:r>
        <w:rPr>
          <w:rFonts w:hint="eastAsia" w:ascii="华文仿宋" w:hAnsi="华文仿宋" w:eastAsia="华文仿宋" w:cs="华文仿宋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华文仿宋" w:hAnsi="华文仿宋" w:eastAsia="华文仿宋" w:cs="华文仿宋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华文仿宋" w:hAnsi="华文仿宋" w:eastAsia="华文仿宋" w:cs="华文仿宋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幸福</w:t>
      </w:r>
      <w:r>
        <w:rPr>
          <w:rFonts w:hint="eastAsia" w:ascii="华文仿宋" w:hAnsi="华文仿宋" w:eastAsia="华文仿宋" w:cs="华文仿宋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汤旺。</w:t>
      </w:r>
    </w:p>
    <w:p w14:paraId="3DC8A11D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让就业创业更安心。</w:t>
      </w:r>
      <w:r>
        <w:rPr>
          <w:rFonts w:hint="eastAsia" w:ascii="仿宋_GB2312" w:hAnsi="仿宋_GB2312" w:cs="仿宋_GB2312"/>
          <w:spacing w:val="0"/>
          <w:highlight w:val="none"/>
        </w:rPr>
        <w:t xml:space="preserve">突出就业优先导向，完善促进就业创业政策机制，深化“促就业六大计划”“十项攻坚行动”，加强高校毕业生、退役军人、零就业家庭等群体就业服务，加大政策性公益岗位供给，加快公共实训基地运营，开展家政、电子商务等技能培训，发挥“汤旺就业超市”“就业推荐官”“零工市场”作用，进一步拓宽市场化就业渠道。全年城镇新增就业450人以上。  </w:t>
      </w:r>
    </w:p>
    <w:p w14:paraId="54D9B3B8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让社会保障更暖心。</w:t>
      </w:r>
      <w:r>
        <w:rPr>
          <w:rFonts w:hint="eastAsia" w:ascii="仿宋_GB2312" w:hAnsi="仿宋_GB2312" w:cs="仿宋_GB2312"/>
          <w:spacing w:val="0"/>
          <w:highlight w:val="none"/>
        </w:rPr>
        <w:t>持续加大财政投入，民生支出比例不低于80%。深入实施全民参保计划，稳步推进基本养老保险、医疗保险参保工作。完善分类救助体系，加强困难群体、弱势群体兜底保障。推进“一老一小”服务，做好贫困失能老年人护理补贴和普惠高龄津贴的发放，推动老年助餐点及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汤旺河镇居家养老综合服务站</w:t>
      </w:r>
      <w:r>
        <w:rPr>
          <w:rFonts w:hint="eastAsia" w:ascii="仿宋_GB2312" w:hAnsi="仿宋_GB2312" w:cs="仿宋_GB2312"/>
          <w:spacing w:val="0"/>
          <w:highlight w:val="none"/>
        </w:rPr>
        <w:t>建设，不断提升社会保障水平。</w:t>
      </w:r>
    </w:p>
    <w:p w14:paraId="3ED0800C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让公共服务更贴心。</w:t>
      </w:r>
      <w:r>
        <w:rPr>
          <w:rFonts w:hint="eastAsia" w:ascii="仿宋_GB2312" w:hAnsi="仿宋_GB2312" w:cs="仿宋_GB2312"/>
          <w:spacing w:val="0"/>
          <w:highlight w:val="none"/>
        </w:rPr>
        <w:t>深化基础教育扩优提质行动，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改善办学条件，</w:t>
      </w:r>
      <w:r>
        <w:rPr>
          <w:rFonts w:hint="eastAsia" w:ascii="仿宋_GB2312" w:hAnsi="仿宋_GB2312" w:cs="仿宋_GB2312"/>
          <w:spacing w:val="0"/>
          <w:highlight w:val="none"/>
        </w:rPr>
        <w:t>推动学前教育普及普惠、义务教育优质均衡。实施医卫能力提升行动，深化县域医共体20大中心建设，引进高效医疗设备、优质医务人才，提高传染病预防和医疗服务水平。组织“文化进基层”、群众性文体活动、全民健身活动，新增健身设施5处以上。</w:t>
      </w:r>
    </w:p>
    <w:p w14:paraId="72AD862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firstLine="632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（七）全力维护社会和谐稳定大局。</w:t>
      </w:r>
      <w:r>
        <w:rPr>
          <w:rFonts w:hint="eastAsia" w:ascii="仿宋_GB2312" w:hAnsi="仿宋_GB2312" w:cs="仿宋_GB2312"/>
          <w:spacing w:val="0"/>
          <w:highlight w:val="none"/>
        </w:rPr>
        <w:t>深入落实总体国家安全观，全领域、全周期做好安全稳定工作，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助力经济社会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以社会“含稳量”加快打造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平安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汤旺</w:t>
      </w: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ADAD43C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筑牢安全生产底线。</w:t>
      </w:r>
      <w:r>
        <w:rPr>
          <w:rFonts w:hint="eastAsia" w:ascii="仿宋_GB2312" w:hAnsi="仿宋_GB2312" w:cs="仿宋_GB2312"/>
          <w:spacing w:val="0"/>
          <w:highlight w:val="none"/>
        </w:rPr>
        <w:t>坚持人民至上、生命至上，全面落实“党政同责、一岗双责”和“三管三必须”要求，深化安全生产治本攻坚三年行动，健全安全监管和应急救援体系，开展宣传“五进”活动，加强城乡消防、道路交通、建筑施工、城镇燃气、景区景点等重点领域隐患排查整治，抓好极端天气、防汛防火防暴雪、地质灾害等监测预警和应急处置，坚决防范遏制重特大事故发生。</w:t>
      </w:r>
    </w:p>
    <w:p w14:paraId="180CE77A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强化重大风险防控。</w:t>
      </w:r>
      <w:r>
        <w:rPr>
          <w:rFonts w:hint="eastAsia" w:ascii="仿宋_GB2312" w:hAnsi="仿宋_GB2312" w:cs="仿宋_GB2312"/>
          <w:spacing w:val="0"/>
          <w:highlight w:val="none"/>
        </w:rPr>
        <w:t>严格债务管理，统筹抓好政府债务、金融等重点领域风险防范化解，强化全口径财力保障监管和财政监测预警，积极化解存量债务，严控隐性债务，坚决守住不发生区域性风险底线。加强民间投融资监管，严厉打击非法金融活动。加大食品药品安全监管力度，全力守护群众舌尖上的安全。</w:t>
      </w:r>
    </w:p>
    <w:p w14:paraId="4218F974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b/>
          <w:bCs/>
          <w:spacing w:val="0"/>
          <w:highlight w:val="none"/>
        </w:rPr>
        <w:t>增强社会治理效能。</w:t>
      </w:r>
      <w:r>
        <w:rPr>
          <w:rFonts w:hint="eastAsia" w:ascii="仿宋_GB2312" w:hAnsi="仿宋_GB2312" w:cs="仿宋_GB2312"/>
          <w:spacing w:val="0"/>
          <w:highlight w:val="none"/>
        </w:rPr>
        <w:t>践行新时代“枫桥经验”，完善“网格+”基层治理模式，加大矛盾排查化解力度，落实“三访一包”机制，依法预防化解信访问题。推进平安汤旺建设，抓好扫黑除恶、公共安全、反邪教、禁毒、反电诈等工作，严厉打击各类违法犯罪行为，全力维护平安稳定社会环境。</w:t>
      </w:r>
    </w:p>
    <w:p w14:paraId="5326B194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同时，继续支持工会、共青团、妇联、工商联、残联、科协等群团组织发挥作用，抓好气象、外事、人防、保密、国防教育等工作，为更好完成全年目标任务提供坚强保障。</w:t>
      </w:r>
    </w:p>
    <w:p w14:paraId="0E775DD3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黑体" w:hAnsi="黑体" w:eastAsia="黑体" w:cs="黑体"/>
          <w:spacing w:val="0"/>
          <w:highlight w:val="none"/>
        </w:rPr>
      </w:pPr>
      <w:r>
        <w:rPr>
          <w:rFonts w:hint="eastAsia" w:ascii="黑体" w:hAnsi="黑体" w:eastAsia="黑体" w:cs="黑体"/>
          <w:spacing w:val="0"/>
          <w:highlight w:val="none"/>
        </w:rPr>
        <w:t>三、全面加强政府自身建设</w:t>
      </w:r>
    </w:p>
    <w:p w14:paraId="14572014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各位代表，民之所盼，政之所向。我们将持续锤炼“三实”作风，</w:t>
      </w:r>
      <w:r>
        <w:rPr>
          <w:rFonts w:hint="eastAsia" w:ascii="仿宋_GB2312" w:hAnsi="仿宋_GB2312" w:cs="仿宋_GB2312"/>
          <w:spacing w:val="0"/>
          <w:highlight w:val="none"/>
          <w:lang w:val="en-US" w:eastAsia="zh-CN"/>
        </w:rPr>
        <w:t>不断提高履职能力，</w:t>
      </w:r>
      <w:r>
        <w:rPr>
          <w:rFonts w:hint="eastAsia" w:ascii="仿宋_GB2312" w:hAnsi="仿宋_GB2312" w:cs="仿宋_GB2312"/>
          <w:spacing w:val="0"/>
          <w:highlight w:val="none"/>
        </w:rPr>
        <w:t>努力建设人民满意政府。</w:t>
      </w:r>
    </w:p>
    <w:p w14:paraId="6D764A1F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坚持忠诚履职。</w:t>
      </w:r>
      <w:r>
        <w:rPr>
          <w:rFonts w:hint="eastAsia" w:ascii="仿宋_GB2312" w:hAnsi="仿宋_GB2312" w:cs="仿宋_GB2312"/>
          <w:spacing w:val="0"/>
          <w:highlight w:val="none"/>
        </w:rPr>
        <w:t>始终把加强党的全面领导贯穿政府工作各领域全过程，坚定拥护“两个确立”，坚决做到“两个维护”，不断筑牢“身在最北方、心向党中央”的政治忠诚。坚决贯彻党中央、国务院决策部署和省委、省政府及市委、市政府部署要求，严格落实县委工作安排，努力把“规划图”变成“施工图”“实景图”。</w:t>
      </w:r>
    </w:p>
    <w:p w14:paraId="6E068391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坚持依法行政。</w:t>
      </w:r>
      <w:r>
        <w:rPr>
          <w:rFonts w:hint="eastAsia" w:ascii="仿宋_GB2312" w:hAnsi="仿宋_GB2312" w:cs="仿宋_GB2312"/>
          <w:spacing w:val="0"/>
          <w:highlight w:val="none"/>
        </w:rPr>
        <w:t>全面贯彻习近平法治思想，深入推进法治政府建设，严格按照法定权限和程序履职尽责，规范公正文明执法。深入推进政务公开，自觉接受人大依法监督、政协民主监督和社会舆论监督，加强审计统计监督，让权力在阳光下运行。紧盯全年高质量发展目标任务，充分运用“四个体系”层层督办重点工作，以更实举措破解难题、推动发展。</w:t>
      </w:r>
    </w:p>
    <w:p w14:paraId="0AF238B5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highlight w:val="none"/>
        </w:rPr>
        <w:t>坚持廉洁自律。</w:t>
      </w:r>
      <w:r>
        <w:rPr>
          <w:rFonts w:hint="eastAsia" w:ascii="仿宋_GB2312" w:hAnsi="仿宋_GB2312" w:cs="仿宋_GB2312"/>
          <w:spacing w:val="0"/>
          <w:highlight w:val="none"/>
        </w:rPr>
        <w:t>扎实推进政府系统党风廉政建设，严格落实中央八项规定及其实施细则精神，强化关键领域廉政风险防控，严肃整治群众身边腐败问题和不正之风。认真落实意识形态工作责任制。持续深化能力作风建设，努力为基层减负增效，全面提升政府工作效能。精打细算过紧日子，严格预算管理，兜住“三保”底线，把更多财力用在刀刃</w:t>
      </w:r>
      <w:bookmarkStart w:id="0" w:name="_GoBack"/>
      <w:bookmarkEnd w:id="0"/>
      <w:r>
        <w:rPr>
          <w:rFonts w:hint="eastAsia" w:ascii="仿宋_GB2312" w:hAnsi="仿宋_GB2312" w:cs="仿宋_GB2312"/>
          <w:spacing w:val="0"/>
          <w:highlight w:val="none"/>
        </w:rPr>
        <w:t>上。</w:t>
      </w:r>
    </w:p>
    <w:p w14:paraId="097621F1">
      <w:pPr>
        <w:pBdr>
          <w:bottom w:val="single" w:color="FFFFFF" w:sz="4" w:space="31"/>
        </w:pBd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  <w:r>
        <w:rPr>
          <w:rFonts w:hint="eastAsia" w:ascii="仿宋_GB2312" w:hAnsi="仿宋_GB2312" w:cs="仿宋_GB2312"/>
          <w:spacing w:val="0"/>
          <w:highlight w:val="none"/>
        </w:rPr>
        <w:t>各位代表！征途万里风正劲、重任千钧再启航。让我们更加紧密地团结在以习近平同志为核心的党中央周围，在县委的坚强领导下，坚定干事之心，凝聚前行之力，勇担使命之责，为开创汤旺高质量发展</w:t>
      </w:r>
      <w:r>
        <w:rPr>
          <w:rFonts w:hint="eastAsia" w:ascii="仿宋_GB2312" w:hAnsi="仿宋_GB2312" w:cs="仿宋_GB2312"/>
          <w:spacing w:val="0"/>
          <w:highlight w:val="none"/>
        </w:rPr>
        <w:t>新局面而不懈奋斗！</w:t>
      </w:r>
    </w:p>
    <w:p w14:paraId="1400D825">
      <w:pPr>
        <w:pBdr>
          <w:bottom w:val="single" w:color="FFFFFF" w:sz="4" w:space="31"/>
        </w:pBdr>
        <w:snapToGrid w:val="0"/>
        <w:spacing w:line="540" w:lineRule="exact"/>
        <w:ind w:firstLine="632" w:firstLineChars="200"/>
        <w:rPr>
          <w:rFonts w:hint="eastAsia" w:ascii="仿宋_GB2312" w:hAnsi="仿宋_GB2312" w:cs="仿宋_GB2312"/>
          <w:spacing w:val="0"/>
          <w:highlight w:val="none"/>
        </w:rPr>
      </w:pPr>
    </w:p>
    <w:p w14:paraId="5D4F0B05">
      <w:pPr>
        <w:spacing w:line="560" w:lineRule="exact"/>
        <w:rPr>
          <w:rFonts w:hint="eastAsia" w:ascii="楷体_GB2312" w:hAnsi="楷体_GB2312" w:eastAsia="楷体_GB2312" w:cs="楷体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A2048">
    <w:pPr>
      <w:pStyle w:val="10"/>
      <w:tabs>
        <w:tab w:val="clear" w:pos="4153"/>
        <w:tab w:val="clear" w:pos="8306"/>
      </w:tabs>
      <w:jc w:val="center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F351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F351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6453BFA">
    <w:pPr>
      <w:pStyle w:val="10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N2UwM2YyMjc4MmU1MjBhZmEzODZjMWE3OGU0OWUifQ=="/>
  </w:docVars>
  <w:rsids>
    <w:rsidRoot w:val="0C985435"/>
    <w:rsid w:val="00064712"/>
    <w:rsid w:val="002704C2"/>
    <w:rsid w:val="003012DC"/>
    <w:rsid w:val="003766FB"/>
    <w:rsid w:val="003C6F73"/>
    <w:rsid w:val="003D32C7"/>
    <w:rsid w:val="003F18CA"/>
    <w:rsid w:val="00492D7D"/>
    <w:rsid w:val="00552147"/>
    <w:rsid w:val="00573E0D"/>
    <w:rsid w:val="00606D32"/>
    <w:rsid w:val="00635F7B"/>
    <w:rsid w:val="00645674"/>
    <w:rsid w:val="00727B9E"/>
    <w:rsid w:val="007F70D7"/>
    <w:rsid w:val="00842C8B"/>
    <w:rsid w:val="00864516"/>
    <w:rsid w:val="008647CB"/>
    <w:rsid w:val="008C54F8"/>
    <w:rsid w:val="009E3597"/>
    <w:rsid w:val="00BF682C"/>
    <w:rsid w:val="00C14ACB"/>
    <w:rsid w:val="00CD058A"/>
    <w:rsid w:val="00D86146"/>
    <w:rsid w:val="00DF6791"/>
    <w:rsid w:val="00EB5EF0"/>
    <w:rsid w:val="00F666AE"/>
    <w:rsid w:val="00FE69C2"/>
    <w:rsid w:val="01C2043A"/>
    <w:rsid w:val="023B0973"/>
    <w:rsid w:val="024F2C06"/>
    <w:rsid w:val="029A38EC"/>
    <w:rsid w:val="02FE20CD"/>
    <w:rsid w:val="045D2E23"/>
    <w:rsid w:val="047C1236"/>
    <w:rsid w:val="0506170D"/>
    <w:rsid w:val="05FA2855"/>
    <w:rsid w:val="06980D7F"/>
    <w:rsid w:val="083127E9"/>
    <w:rsid w:val="0860690E"/>
    <w:rsid w:val="086504F8"/>
    <w:rsid w:val="087B2F0C"/>
    <w:rsid w:val="094D4CA9"/>
    <w:rsid w:val="0C985435"/>
    <w:rsid w:val="0D6245F7"/>
    <w:rsid w:val="0E903DF5"/>
    <w:rsid w:val="0EB2255C"/>
    <w:rsid w:val="0EBF4A3A"/>
    <w:rsid w:val="0F5C08A7"/>
    <w:rsid w:val="11114067"/>
    <w:rsid w:val="124D4697"/>
    <w:rsid w:val="12BC3FDD"/>
    <w:rsid w:val="12CF53EB"/>
    <w:rsid w:val="13370C17"/>
    <w:rsid w:val="13DA7FEC"/>
    <w:rsid w:val="16845276"/>
    <w:rsid w:val="169B3A7C"/>
    <w:rsid w:val="17FC5FFB"/>
    <w:rsid w:val="18E32821"/>
    <w:rsid w:val="19674B93"/>
    <w:rsid w:val="19E60322"/>
    <w:rsid w:val="19F93196"/>
    <w:rsid w:val="1CDC4AEC"/>
    <w:rsid w:val="1D05463B"/>
    <w:rsid w:val="1D6A0633"/>
    <w:rsid w:val="1D7E2F91"/>
    <w:rsid w:val="1D9F5E03"/>
    <w:rsid w:val="1DA13929"/>
    <w:rsid w:val="1DD737EE"/>
    <w:rsid w:val="1E05035C"/>
    <w:rsid w:val="1F5A597C"/>
    <w:rsid w:val="1F6707C5"/>
    <w:rsid w:val="1F777037"/>
    <w:rsid w:val="200F761D"/>
    <w:rsid w:val="208D3A5C"/>
    <w:rsid w:val="20A0736A"/>
    <w:rsid w:val="20CB68DC"/>
    <w:rsid w:val="20D3029D"/>
    <w:rsid w:val="21D4251F"/>
    <w:rsid w:val="23111551"/>
    <w:rsid w:val="23EC3D05"/>
    <w:rsid w:val="2489058D"/>
    <w:rsid w:val="25D93C7E"/>
    <w:rsid w:val="25FF550F"/>
    <w:rsid w:val="26BE379D"/>
    <w:rsid w:val="27550294"/>
    <w:rsid w:val="284E28FF"/>
    <w:rsid w:val="288527C5"/>
    <w:rsid w:val="28856BEE"/>
    <w:rsid w:val="297445E7"/>
    <w:rsid w:val="29CC54B5"/>
    <w:rsid w:val="2ABE34FC"/>
    <w:rsid w:val="2AE158A8"/>
    <w:rsid w:val="2B98487B"/>
    <w:rsid w:val="2B9D2AF6"/>
    <w:rsid w:val="2B9D321C"/>
    <w:rsid w:val="2C803B90"/>
    <w:rsid w:val="2D74780B"/>
    <w:rsid w:val="2DC72F38"/>
    <w:rsid w:val="2E6D4270"/>
    <w:rsid w:val="2F650C5A"/>
    <w:rsid w:val="30DF2C8E"/>
    <w:rsid w:val="30FF13DF"/>
    <w:rsid w:val="31355B86"/>
    <w:rsid w:val="31905300"/>
    <w:rsid w:val="319C0B7F"/>
    <w:rsid w:val="329902C4"/>
    <w:rsid w:val="33F71FE3"/>
    <w:rsid w:val="34C87E9F"/>
    <w:rsid w:val="34E24AFB"/>
    <w:rsid w:val="36296BDA"/>
    <w:rsid w:val="393D427A"/>
    <w:rsid w:val="39D30EB6"/>
    <w:rsid w:val="3A231A2F"/>
    <w:rsid w:val="3AEA1EE6"/>
    <w:rsid w:val="3B2A0FAA"/>
    <w:rsid w:val="3BC25DE6"/>
    <w:rsid w:val="3C4D400B"/>
    <w:rsid w:val="3C836BC3"/>
    <w:rsid w:val="3C8F1FD4"/>
    <w:rsid w:val="3D2A2E40"/>
    <w:rsid w:val="3D7309E6"/>
    <w:rsid w:val="3D97175C"/>
    <w:rsid w:val="3DDB7CD3"/>
    <w:rsid w:val="3E4E021B"/>
    <w:rsid w:val="3E8E2BFE"/>
    <w:rsid w:val="3F281FAB"/>
    <w:rsid w:val="3F9B19A0"/>
    <w:rsid w:val="40EE65D6"/>
    <w:rsid w:val="41503CCE"/>
    <w:rsid w:val="4176296D"/>
    <w:rsid w:val="42AD7946"/>
    <w:rsid w:val="432335FB"/>
    <w:rsid w:val="462705C0"/>
    <w:rsid w:val="4678706D"/>
    <w:rsid w:val="48171365"/>
    <w:rsid w:val="48B620CF"/>
    <w:rsid w:val="4A222BCC"/>
    <w:rsid w:val="4A8D7A02"/>
    <w:rsid w:val="4ABF170F"/>
    <w:rsid w:val="4C526652"/>
    <w:rsid w:val="4D5712FF"/>
    <w:rsid w:val="4DC72E5F"/>
    <w:rsid w:val="4DE44FE8"/>
    <w:rsid w:val="4EA035AA"/>
    <w:rsid w:val="4FD11690"/>
    <w:rsid w:val="4FDD3A7F"/>
    <w:rsid w:val="4FEB7A5A"/>
    <w:rsid w:val="50153B7F"/>
    <w:rsid w:val="517E06C3"/>
    <w:rsid w:val="51EE640D"/>
    <w:rsid w:val="52F51F24"/>
    <w:rsid w:val="530103EA"/>
    <w:rsid w:val="53926B2B"/>
    <w:rsid w:val="53E41D3E"/>
    <w:rsid w:val="551C150B"/>
    <w:rsid w:val="555407D9"/>
    <w:rsid w:val="559E51C7"/>
    <w:rsid w:val="563F3E8D"/>
    <w:rsid w:val="578A3D80"/>
    <w:rsid w:val="58DB65C2"/>
    <w:rsid w:val="590429E2"/>
    <w:rsid w:val="59170968"/>
    <w:rsid w:val="592B2CD4"/>
    <w:rsid w:val="5A9B1124"/>
    <w:rsid w:val="5ADD1E8F"/>
    <w:rsid w:val="5B227DD6"/>
    <w:rsid w:val="5BAC5621"/>
    <w:rsid w:val="5D111403"/>
    <w:rsid w:val="5E360964"/>
    <w:rsid w:val="5E640BB4"/>
    <w:rsid w:val="5EFB2DB6"/>
    <w:rsid w:val="5F302B65"/>
    <w:rsid w:val="5F8B3213"/>
    <w:rsid w:val="60820A1B"/>
    <w:rsid w:val="61650242"/>
    <w:rsid w:val="633431A8"/>
    <w:rsid w:val="638B0FD2"/>
    <w:rsid w:val="65D62B44"/>
    <w:rsid w:val="66B772E6"/>
    <w:rsid w:val="66C55906"/>
    <w:rsid w:val="673F3564"/>
    <w:rsid w:val="6853303E"/>
    <w:rsid w:val="68664B19"/>
    <w:rsid w:val="689304E6"/>
    <w:rsid w:val="68992543"/>
    <w:rsid w:val="68E82B12"/>
    <w:rsid w:val="68F104B2"/>
    <w:rsid w:val="693C61FA"/>
    <w:rsid w:val="69766FE4"/>
    <w:rsid w:val="69E37643"/>
    <w:rsid w:val="6A3F311A"/>
    <w:rsid w:val="6ABD6C0D"/>
    <w:rsid w:val="6AF02DC7"/>
    <w:rsid w:val="6C486C06"/>
    <w:rsid w:val="6C9654C1"/>
    <w:rsid w:val="6CD506A3"/>
    <w:rsid w:val="6CF90CDA"/>
    <w:rsid w:val="6CFC5A53"/>
    <w:rsid w:val="6D060801"/>
    <w:rsid w:val="6D197EA0"/>
    <w:rsid w:val="6DC5678C"/>
    <w:rsid w:val="6DF332FA"/>
    <w:rsid w:val="6E237DA5"/>
    <w:rsid w:val="6EF03395"/>
    <w:rsid w:val="6EF83BB0"/>
    <w:rsid w:val="6F6E4C2E"/>
    <w:rsid w:val="70A95EF1"/>
    <w:rsid w:val="713C0B14"/>
    <w:rsid w:val="7171504B"/>
    <w:rsid w:val="72F33DAC"/>
    <w:rsid w:val="73263829"/>
    <w:rsid w:val="739E0025"/>
    <w:rsid w:val="73F23645"/>
    <w:rsid w:val="740F498F"/>
    <w:rsid w:val="74AC09E2"/>
    <w:rsid w:val="756B6753"/>
    <w:rsid w:val="757B3C68"/>
    <w:rsid w:val="76BD44A5"/>
    <w:rsid w:val="7885416D"/>
    <w:rsid w:val="7AC676A0"/>
    <w:rsid w:val="7B67733B"/>
    <w:rsid w:val="7CC3658D"/>
    <w:rsid w:val="7D874B49"/>
    <w:rsid w:val="7D90327D"/>
    <w:rsid w:val="7F5719D0"/>
    <w:rsid w:val="7FB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要点1"/>
    <w:basedOn w:val="9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9">
    <w:name w:val="默认段落字体1"/>
    <w:semiHidden/>
    <w:qFormat/>
    <w:uiPriority w:val="0"/>
  </w:style>
  <w:style w:type="paragraph" w:customStyle="1" w:styleId="10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15</Pages>
  <Words>3372</Words>
  <Characters>3546</Characters>
  <Lines>59</Lines>
  <Paragraphs>16</Paragraphs>
  <TotalTime>11</TotalTime>
  <ScaleCrop>false</ScaleCrop>
  <LinksUpToDate>false</LinksUpToDate>
  <CharactersWithSpaces>3546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2025-01-10T10:38:00Z</dcterms:created>
  <dc:creator>大海</dc:creator>
  <cp:lastModifiedBy>@厌倦</cp:lastModifiedBy>
  <cp:lastPrinted>2025-01-13T12:05:00Z</cp:lastPrinted>
  <dcterms:modified xsi:type="dcterms:W3CDTF">2025-04-18T02:08:57Z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A0DF94A18C9843F598378B91082E8645_13</vt:lpwstr>
  </property>
  <property fmtid="{D5CDD505-2E9C-101B-9397-08002B2CF9AE}" pid="4" name="KSOTemplateDocerSaveRecord">
    <vt:lpwstr>eyJoZGlkIjoiNGUxMDk0OWNlMTc3MjJjMTNhNTEwZDgzYmU4YzAzNzUiLCJ1c2VySWQiOiI2ODk5ODEzNDkifQ==</vt:lpwstr>
  </property>
</Properties>
</file>